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7F7AF3" w14:textId="200B9F8D" w:rsidR="00052EB0" w:rsidRPr="00AB48F5" w:rsidRDefault="00066F52" w:rsidP="00D208BF">
      <w:pPr>
        <w:spacing w:after="0"/>
        <w:jc w:val="center"/>
        <w:rPr>
          <w:rFonts w:ascii="Times New Roman" w:hAnsi="Times New Roman" w:cs="Times New Roman"/>
          <w:b/>
          <w:bCs/>
          <w:sz w:val="24"/>
          <w:szCs w:val="24"/>
        </w:rPr>
      </w:pPr>
      <w:bookmarkStart w:id="0" w:name="_GoBack"/>
      <w:r w:rsidRPr="00AB48F5">
        <w:rPr>
          <w:rFonts w:ascii="Times New Roman" w:hAnsi="Times New Roman" w:cs="Times New Roman"/>
          <w:b/>
          <w:bCs/>
          <w:sz w:val="24"/>
          <w:szCs w:val="24"/>
        </w:rPr>
        <w:t>Sinteza observațiilor</w:t>
      </w:r>
    </w:p>
    <w:p w14:paraId="78F4B3A5" w14:textId="608C6B96" w:rsidR="00066F52" w:rsidRPr="00AB48F5" w:rsidRDefault="00D208BF" w:rsidP="00D208BF">
      <w:pPr>
        <w:spacing w:after="120"/>
        <w:jc w:val="center"/>
        <w:rPr>
          <w:rFonts w:ascii="Times New Roman" w:hAnsi="Times New Roman" w:cs="Times New Roman"/>
          <w:b/>
          <w:bCs/>
          <w:sz w:val="24"/>
          <w:szCs w:val="24"/>
        </w:rPr>
      </w:pPr>
      <w:r w:rsidRPr="00AB48F5">
        <w:rPr>
          <w:rFonts w:ascii="Times New Roman" w:hAnsi="Times New Roman" w:cs="Times New Roman"/>
          <w:b/>
          <w:bCs/>
          <w:sz w:val="24"/>
          <w:szCs w:val="24"/>
        </w:rPr>
        <w:t>la Ordinul pentru aprobarea Metodologiei privind reglementarea condițiilor pentru preluarea în proprietate de capacități energetice de distribuție a energiei electrice</w:t>
      </w:r>
    </w:p>
    <w:p w14:paraId="412C995C" w14:textId="1F50CB03" w:rsidR="00AB48F5" w:rsidRPr="00AB48F5" w:rsidRDefault="00AB48F5" w:rsidP="00D208BF">
      <w:pPr>
        <w:spacing w:after="120"/>
        <w:jc w:val="center"/>
        <w:rPr>
          <w:rFonts w:ascii="Times New Roman" w:hAnsi="Times New Roman" w:cs="Times New Roman"/>
          <w:b/>
          <w:bCs/>
          <w:sz w:val="24"/>
          <w:szCs w:val="24"/>
        </w:rPr>
      </w:pPr>
      <w:r w:rsidRPr="00AB48F5">
        <w:rPr>
          <w:rFonts w:ascii="Times New Roman" w:hAnsi="Times New Roman" w:cs="Times New Roman"/>
          <w:b/>
          <w:bCs/>
          <w:sz w:val="24"/>
          <w:szCs w:val="24"/>
        </w:rPr>
        <w:t>supus consultării publice în perioada 09.09.2020 – 20.09.2020</w:t>
      </w:r>
    </w:p>
    <w:bookmarkEnd w:id="0"/>
    <w:p w14:paraId="2BE01F6D" w14:textId="77777777" w:rsidR="00720795" w:rsidRPr="00720795" w:rsidRDefault="00720795" w:rsidP="00720795">
      <w:pPr>
        <w:spacing w:after="0" w:line="240" w:lineRule="auto"/>
        <w:rPr>
          <w:rFonts w:ascii="Times New Roman" w:eastAsia="Times New Roman" w:hAnsi="Times New Roman" w:cs="Times New Roman"/>
          <w:b/>
          <w:bCs/>
          <w:color w:val="000000"/>
          <w:sz w:val="24"/>
          <w:szCs w:val="24"/>
          <w:lang w:eastAsia="ro-RO"/>
        </w:rPr>
      </w:pPr>
      <w:r w:rsidRPr="00720795">
        <w:rPr>
          <w:rFonts w:ascii="Times New Roman" w:eastAsia="Times New Roman" w:hAnsi="Times New Roman" w:cs="Times New Roman"/>
          <w:b/>
          <w:bCs/>
          <w:color w:val="000000"/>
          <w:sz w:val="24"/>
          <w:szCs w:val="24"/>
          <w:lang w:eastAsia="ro-RO"/>
        </w:rPr>
        <w:t>Proiect de Ordin pentru aprobarea Metodologiei privind reglementarea condițiilor pentru preluarea în proprietate de capacități energetice de distribuție a energiei electrice</w:t>
      </w:r>
    </w:p>
    <w:tbl>
      <w:tblPr>
        <w:tblW w:w="5000" w:type="pct"/>
        <w:tblLook w:val="04A0" w:firstRow="1" w:lastRow="0" w:firstColumn="1" w:lastColumn="0" w:noHBand="0" w:noVBand="1"/>
      </w:tblPr>
      <w:tblGrid>
        <w:gridCol w:w="716"/>
        <w:gridCol w:w="772"/>
        <w:gridCol w:w="2740"/>
        <w:gridCol w:w="1956"/>
        <w:gridCol w:w="3388"/>
        <w:gridCol w:w="2714"/>
        <w:gridCol w:w="2305"/>
      </w:tblGrid>
      <w:tr w:rsidR="00720795" w:rsidRPr="00066F52" w14:paraId="5FED7D5E" w14:textId="77777777" w:rsidTr="00720795">
        <w:trPr>
          <w:trHeight w:val="684"/>
        </w:trPr>
        <w:tc>
          <w:tcPr>
            <w:tcW w:w="2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AEC6C0" w14:textId="77777777" w:rsidR="00720795" w:rsidRPr="00066F52" w:rsidRDefault="00720795" w:rsidP="00443920">
            <w:pPr>
              <w:spacing w:after="0" w:line="240" w:lineRule="auto"/>
              <w:jc w:val="center"/>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Nr. crt.</w:t>
            </w:r>
          </w:p>
        </w:tc>
        <w:tc>
          <w:tcPr>
            <w:tcW w:w="265" w:type="pct"/>
            <w:tcBorders>
              <w:top w:val="single" w:sz="4" w:space="0" w:color="auto"/>
              <w:left w:val="nil"/>
              <w:bottom w:val="single" w:sz="4" w:space="0" w:color="auto"/>
              <w:right w:val="single" w:sz="4" w:space="0" w:color="auto"/>
            </w:tcBorders>
            <w:shd w:val="clear" w:color="auto" w:fill="auto"/>
            <w:vAlign w:val="center"/>
            <w:hideMark/>
          </w:tcPr>
          <w:p w14:paraId="1B0B86A0" w14:textId="77777777" w:rsidR="00720795" w:rsidRPr="00066F52" w:rsidRDefault="00720795" w:rsidP="00443920">
            <w:pPr>
              <w:spacing w:after="0" w:line="240" w:lineRule="auto"/>
              <w:jc w:val="center"/>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Nr. articol</w:t>
            </w:r>
          </w:p>
        </w:tc>
        <w:tc>
          <w:tcPr>
            <w:tcW w:w="939" w:type="pct"/>
            <w:tcBorders>
              <w:top w:val="single" w:sz="4" w:space="0" w:color="auto"/>
              <w:left w:val="nil"/>
              <w:bottom w:val="single" w:sz="4" w:space="0" w:color="auto"/>
              <w:right w:val="single" w:sz="4" w:space="0" w:color="auto"/>
            </w:tcBorders>
            <w:shd w:val="clear" w:color="auto" w:fill="auto"/>
            <w:vAlign w:val="center"/>
            <w:hideMark/>
          </w:tcPr>
          <w:p w14:paraId="2438578E" w14:textId="77777777" w:rsidR="00720795" w:rsidRPr="00066F52" w:rsidRDefault="00720795" w:rsidP="00443920">
            <w:pPr>
              <w:spacing w:after="0" w:line="240" w:lineRule="auto"/>
              <w:jc w:val="center"/>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Text inițial propunere reglementare</w:t>
            </w:r>
          </w:p>
        </w:tc>
        <w:tc>
          <w:tcPr>
            <w:tcW w:w="670" w:type="pct"/>
            <w:tcBorders>
              <w:top w:val="single" w:sz="4" w:space="0" w:color="auto"/>
              <w:left w:val="nil"/>
              <w:bottom w:val="single" w:sz="4" w:space="0" w:color="auto"/>
              <w:right w:val="single" w:sz="4" w:space="0" w:color="auto"/>
            </w:tcBorders>
            <w:shd w:val="clear" w:color="auto" w:fill="auto"/>
            <w:vAlign w:val="center"/>
            <w:hideMark/>
          </w:tcPr>
          <w:p w14:paraId="2083BB9A" w14:textId="16E78536" w:rsidR="00720795" w:rsidRPr="00066F52" w:rsidRDefault="00720795" w:rsidP="00443920">
            <w:pPr>
              <w:spacing w:after="0" w:line="240" w:lineRule="auto"/>
              <w:jc w:val="center"/>
              <w:rPr>
                <w:rFonts w:ascii="Times New Roman" w:eastAsia="Times New Roman" w:hAnsi="Times New Roman" w:cs="Times New Roman"/>
                <w:b/>
                <w:bCs/>
                <w:color w:val="000000"/>
                <w:sz w:val="18"/>
                <w:szCs w:val="18"/>
                <w:lang w:eastAsia="ro-RO"/>
              </w:rPr>
            </w:pPr>
            <w:r w:rsidRPr="00066F52">
              <w:rPr>
                <w:rFonts w:ascii="Times New Roman" w:eastAsia="Times New Roman" w:hAnsi="Times New Roman" w:cs="Times New Roman"/>
                <w:b/>
                <w:bCs/>
                <w:color w:val="000000"/>
                <w:sz w:val="18"/>
                <w:szCs w:val="18"/>
                <w:lang w:eastAsia="ro-RO"/>
              </w:rPr>
              <w:t>Operator</w:t>
            </w:r>
            <w:r w:rsidR="005F1394">
              <w:rPr>
                <w:rFonts w:ascii="Times New Roman" w:eastAsia="Times New Roman" w:hAnsi="Times New Roman" w:cs="Times New Roman"/>
                <w:b/>
                <w:bCs/>
                <w:color w:val="000000"/>
                <w:sz w:val="18"/>
                <w:szCs w:val="18"/>
                <w:lang w:eastAsia="ro-RO"/>
              </w:rPr>
              <w:t>ul</w:t>
            </w:r>
            <w:r w:rsidRPr="00066F52">
              <w:rPr>
                <w:rFonts w:ascii="Times New Roman" w:eastAsia="Times New Roman" w:hAnsi="Times New Roman" w:cs="Times New Roman"/>
                <w:b/>
                <w:bCs/>
                <w:color w:val="000000"/>
                <w:sz w:val="18"/>
                <w:szCs w:val="18"/>
                <w:lang w:eastAsia="ro-RO"/>
              </w:rPr>
              <w:t xml:space="preserve"> economic care formulează propunerea de modificare/completare</w:t>
            </w:r>
          </w:p>
        </w:tc>
        <w:tc>
          <w:tcPr>
            <w:tcW w:w="1161" w:type="pct"/>
            <w:tcBorders>
              <w:top w:val="single" w:sz="4" w:space="0" w:color="auto"/>
              <w:left w:val="nil"/>
              <w:bottom w:val="single" w:sz="4" w:space="0" w:color="auto"/>
              <w:right w:val="single" w:sz="4" w:space="0" w:color="auto"/>
            </w:tcBorders>
            <w:shd w:val="clear" w:color="auto" w:fill="auto"/>
            <w:vAlign w:val="center"/>
            <w:hideMark/>
          </w:tcPr>
          <w:p w14:paraId="78C0D4B0" w14:textId="77777777" w:rsidR="00720795" w:rsidRPr="00066F52" w:rsidRDefault="00720795" w:rsidP="00443920">
            <w:pPr>
              <w:spacing w:after="0" w:line="240" w:lineRule="auto"/>
              <w:jc w:val="center"/>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Text propus pentru modificare/completare</w:t>
            </w:r>
          </w:p>
        </w:tc>
        <w:tc>
          <w:tcPr>
            <w:tcW w:w="930" w:type="pct"/>
            <w:tcBorders>
              <w:top w:val="single" w:sz="4" w:space="0" w:color="auto"/>
              <w:left w:val="nil"/>
              <w:bottom w:val="single" w:sz="4" w:space="0" w:color="auto"/>
              <w:right w:val="single" w:sz="4" w:space="0" w:color="auto"/>
            </w:tcBorders>
            <w:shd w:val="clear" w:color="auto" w:fill="auto"/>
            <w:vAlign w:val="center"/>
            <w:hideMark/>
          </w:tcPr>
          <w:p w14:paraId="18AC6AA9" w14:textId="77777777" w:rsidR="00720795" w:rsidRPr="00066F52" w:rsidRDefault="00720795" w:rsidP="00443920">
            <w:pPr>
              <w:spacing w:after="0" w:line="240" w:lineRule="auto"/>
              <w:jc w:val="center"/>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Motivația propunerii de modificare/completare</w:t>
            </w:r>
          </w:p>
        </w:tc>
        <w:tc>
          <w:tcPr>
            <w:tcW w:w="790" w:type="pct"/>
            <w:tcBorders>
              <w:top w:val="single" w:sz="4" w:space="0" w:color="auto"/>
              <w:left w:val="nil"/>
              <w:bottom w:val="single" w:sz="4" w:space="0" w:color="auto"/>
              <w:right w:val="single" w:sz="4" w:space="0" w:color="auto"/>
            </w:tcBorders>
            <w:shd w:val="clear" w:color="auto" w:fill="auto"/>
            <w:vAlign w:val="center"/>
            <w:hideMark/>
          </w:tcPr>
          <w:p w14:paraId="29849FA6" w14:textId="77777777" w:rsidR="00720795" w:rsidRPr="00066F52" w:rsidRDefault="00720795" w:rsidP="00443920">
            <w:pPr>
              <w:spacing w:after="0" w:line="240" w:lineRule="auto"/>
              <w:jc w:val="center"/>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Rezoluția ANRE</w:t>
            </w:r>
          </w:p>
        </w:tc>
      </w:tr>
      <w:tr w:rsidR="00720795" w:rsidRPr="00720795" w14:paraId="3930E73B" w14:textId="77777777" w:rsidTr="00720795">
        <w:trPr>
          <w:trHeight w:val="684"/>
        </w:trPr>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663E93E8" w14:textId="77777777" w:rsidR="00720795" w:rsidRPr="00720795" w:rsidRDefault="00720795" w:rsidP="00720795">
            <w:pPr>
              <w:spacing w:after="0" w:line="240" w:lineRule="auto"/>
              <w:rPr>
                <w:rFonts w:ascii="Times New Roman" w:eastAsia="Times New Roman" w:hAnsi="Times New Roman" w:cs="Times New Roman"/>
                <w:b/>
                <w:bCs/>
                <w:color w:val="000000"/>
                <w:sz w:val="20"/>
                <w:szCs w:val="20"/>
                <w:lang w:eastAsia="ro-RO"/>
              </w:rPr>
            </w:pPr>
            <w:r w:rsidRPr="00720795">
              <w:rPr>
                <w:rFonts w:ascii="Times New Roman" w:eastAsia="Times New Roman" w:hAnsi="Times New Roman" w:cs="Times New Roman"/>
                <w:b/>
                <w:bCs/>
                <w:color w:val="000000"/>
                <w:sz w:val="20"/>
                <w:szCs w:val="20"/>
                <w:lang w:eastAsia="ro-RO"/>
              </w:rPr>
              <w:t>1.       </w:t>
            </w:r>
          </w:p>
        </w:tc>
        <w:tc>
          <w:tcPr>
            <w:tcW w:w="265" w:type="pct"/>
            <w:tcBorders>
              <w:top w:val="single" w:sz="4" w:space="0" w:color="auto"/>
              <w:left w:val="nil"/>
              <w:bottom w:val="single" w:sz="4" w:space="0" w:color="auto"/>
              <w:right w:val="single" w:sz="4" w:space="0" w:color="auto"/>
            </w:tcBorders>
            <w:shd w:val="clear" w:color="auto" w:fill="auto"/>
            <w:hideMark/>
          </w:tcPr>
          <w:p w14:paraId="09BD1BE7" w14:textId="77777777" w:rsidR="00720795" w:rsidRPr="00720795" w:rsidRDefault="00720795" w:rsidP="00720795">
            <w:pPr>
              <w:spacing w:after="0" w:line="240" w:lineRule="auto"/>
              <w:rPr>
                <w:rFonts w:ascii="Times New Roman" w:eastAsia="Times New Roman" w:hAnsi="Times New Roman" w:cs="Times New Roman"/>
                <w:b/>
                <w:bCs/>
                <w:color w:val="000000"/>
                <w:sz w:val="20"/>
                <w:szCs w:val="20"/>
                <w:lang w:eastAsia="ro-RO"/>
              </w:rPr>
            </w:pPr>
            <w:r w:rsidRPr="00720795">
              <w:rPr>
                <w:rFonts w:ascii="Times New Roman" w:eastAsia="Times New Roman" w:hAnsi="Times New Roman" w:cs="Times New Roman"/>
                <w:b/>
                <w:bCs/>
                <w:color w:val="000000"/>
                <w:sz w:val="20"/>
                <w:szCs w:val="20"/>
                <w:lang w:eastAsia="ro-RO"/>
              </w:rPr>
              <w:t>Art. 1</w:t>
            </w:r>
          </w:p>
        </w:tc>
        <w:tc>
          <w:tcPr>
            <w:tcW w:w="939" w:type="pct"/>
            <w:tcBorders>
              <w:top w:val="single" w:sz="4" w:space="0" w:color="auto"/>
              <w:left w:val="nil"/>
              <w:bottom w:val="single" w:sz="4" w:space="0" w:color="auto"/>
              <w:right w:val="single" w:sz="4" w:space="0" w:color="auto"/>
            </w:tcBorders>
            <w:shd w:val="clear" w:color="auto" w:fill="auto"/>
            <w:hideMark/>
          </w:tcPr>
          <w:p w14:paraId="36E4209F" w14:textId="77777777" w:rsidR="00720795" w:rsidRPr="00720795" w:rsidRDefault="00720795" w:rsidP="00720795">
            <w:pPr>
              <w:spacing w:after="0" w:line="240" w:lineRule="auto"/>
              <w:rPr>
                <w:rFonts w:ascii="Times New Roman" w:eastAsia="Times New Roman" w:hAnsi="Times New Roman" w:cs="Times New Roman"/>
                <w:color w:val="000000"/>
                <w:sz w:val="20"/>
                <w:szCs w:val="20"/>
                <w:lang w:eastAsia="ro-RO"/>
              </w:rPr>
            </w:pPr>
            <w:r w:rsidRPr="00720795">
              <w:rPr>
                <w:rFonts w:ascii="Times New Roman" w:eastAsia="Times New Roman" w:hAnsi="Times New Roman" w:cs="Times New Roman"/>
                <w:color w:val="000000"/>
                <w:sz w:val="20"/>
                <w:szCs w:val="20"/>
                <w:lang w:eastAsia="ro-RO"/>
              </w:rPr>
              <w:t>Se aprobă Metodologia privind reglementarea condițiilor pentru preluarea în proprietate de capacități energetice de distribuție a energiei electrice, prevăzută în anexa care face parte integrantă din prezentul ordin.</w:t>
            </w:r>
          </w:p>
        </w:tc>
        <w:tc>
          <w:tcPr>
            <w:tcW w:w="670" w:type="pct"/>
            <w:tcBorders>
              <w:top w:val="single" w:sz="4" w:space="0" w:color="auto"/>
              <w:left w:val="nil"/>
              <w:bottom w:val="single" w:sz="4" w:space="0" w:color="auto"/>
              <w:right w:val="single" w:sz="4" w:space="0" w:color="auto"/>
            </w:tcBorders>
            <w:shd w:val="clear" w:color="auto" w:fill="auto"/>
            <w:hideMark/>
          </w:tcPr>
          <w:p w14:paraId="68C433F9" w14:textId="77777777" w:rsidR="00720795" w:rsidRPr="00720795" w:rsidRDefault="00720795" w:rsidP="00720795">
            <w:pPr>
              <w:spacing w:after="0" w:line="240" w:lineRule="auto"/>
              <w:rPr>
                <w:rFonts w:ascii="Times New Roman" w:eastAsia="Times New Roman" w:hAnsi="Times New Roman" w:cs="Times New Roman"/>
                <w:color w:val="000000"/>
                <w:sz w:val="18"/>
                <w:szCs w:val="18"/>
                <w:lang w:eastAsia="ro-RO"/>
              </w:rPr>
            </w:pPr>
            <w:r w:rsidRPr="00720795">
              <w:rPr>
                <w:rFonts w:ascii="Times New Roman" w:eastAsia="Times New Roman" w:hAnsi="Times New Roman" w:cs="Times New Roman"/>
                <w:color w:val="000000"/>
                <w:sz w:val="18"/>
                <w:szCs w:val="18"/>
                <w:lang w:eastAsia="ro-RO"/>
              </w:rPr>
              <w:t>SDEE Transilvania Sud</w:t>
            </w:r>
          </w:p>
        </w:tc>
        <w:tc>
          <w:tcPr>
            <w:tcW w:w="1161" w:type="pct"/>
            <w:tcBorders>
              <w:top w:val="single" w:sz="4" w:space="0" w:color="auto"/>
              <w:left w:val="nil"/>
              <w:bottom w:val="single" w:sz="4" w:space="0" w:color="auto"/>
              <w:right w:val="single" w:sz="4" w:space="0" w:color="auto"/>
            </w:tcBorders>
            <w:shd w:val="clear" w:color="auto" w:fill="auto"/>
            <w:hideMark/>
          </w:tcPr>
          <w:p w14:paraId="4A0ACAD9" w14:textId="77777777" w:rsidR="00720795" w:rsidRPr="00720795" w:rsidRDefault="00720795" w:rsidP="00720795">
            <w:pPr>
              <w:spacing w:after="0" w:line="240" w:lineRule="auto"/>
              <w:rPr>
                <w:rFonts w:ascii="Times New Roman" w:eastAsia="Times New Roman" w:hAnsi="Times New Roman" w:cs="Times New Roman"/>
                <w:color w:val="000000"/>
                <w:sz w:val="20"/>
                <w:szCs w:val="20"/>
                <w:lang w:eastAsia="ro-RO"/>
              </w:rPr>
            </w:pPr>
            <w:r w:rsidRPr="00720795">
              <w:rPr>
                <w:rFonts w:ascii="Times New Roman" w:eastAsia="Times New Roman" w:hAnsi="Times New Roman" w:cs="Times New Roman"/>
                <w:color w:val="000000"/>
                <w:sz w:val="20"/>
                <w:szCs w:val="20"/>
                <w:lang w:eastAsia="ro-RO"/>
              </w:rPr>
              <w:t xml:space="preserve">Se aprobă Metodologia privind reglementarea condițiilor pentru preluarea </w:t>
            </w:r>
            <w:r w:rsidRPr="00720795">
              <w:rPr>
                <w:rFonts w:ascii="Times New Roman" w:eastAsia="Times New Roman" w:hAnsi="Times New Roman" w:cs="Times New Roman"/>
                <w:strike/>
                <w:color w:val="000000"/>
                <w:sz w:val="20"/>
                <w:szCs w:val="20"/>
                <w:lang w:eastAsia="ro-RO"/>
              </w:rPr>
              <w:t>în proprietate</w:t>
            </w:r>
            <w:r w:rsidRPr="00720795">
              <w:rPr>
                <w:rFonts w:ascii="Times New Roman" w:eastAsia="Times New Roman" w:hAnsi="Times New Roman" w:cs="Times New Roman"/>
                <w:color w:val="000000"/>
                <w:sz w:val="20"/>
                <w:szCs w:val="20"/>
                <w:lang w:eastAsia="ro-RO"/>
              </w:rPr>
              <w:t xml:space="preserve"> de capacități energetice de distribuție a energiei electrice, prevăzută în anexa care face parte integrantă din prezentul ordin.</w:t>
            </w:r>
          </w:p>
        </w:tc>
        <w:tc>
          <w:tcPr>
            <w:tcW w:w="930" w:type="pct"/>
            <w:tcBorders>
              <w:top w:val="single" w:sz="4" w:space="0" w:color="auto"/>
              <w:left w:val="nil"/>
              <w:bottom w:val="single" w:sz="4" w:space="0" w:color="auto"/>
              <w:right w:val="single" w:sz="4" w:space="0" w:color="auto"/>
            </w:tcBorders>
            <w:shd w:val="clear" w:color="auto" w:fill="auto"/>
            <w:hideMark/>
          </w:tcPr>
          <w:p w14:paraId="1B14B62F" w14:textId="77777777" w:rsidR="00720795" w:rsidRPr="00720795" w:rsidRDefault="00720795" w:rsidP="00720795">
            <w:pPr>
              <w:spacing w:after="0" w:line="240" w:lineRule="auto"/>
              <w:rPr>
                <w:rFonts w:ascii="Times New Roman" w:eastAsia="Times New Roman" w:hAnsi="Times New Roman" w:cs="Times New Roman"/>
                <w:color w:val="000000"/>
                <w:sz w:val="20"/>
                <w:szCs w:val="20"/>
                <w:lang w:eastAsia="ro-RO"/>
              </w:rPr>
            </w:pPr>
            <w:r w:rsidRPr="00720795">
              <w:rPr>
                <w:rFonts w:ascii="Times New Roman" w:eastAsia="Times New Roman" w:hAnsi="Times New Roman" w:cs="Times New Roman"/>
                <w:color w:val="000000"/>
                <w:sz w:val="20"/>
                <w:szCs w:val="20"/>
                <w:lang w:eastAsia="ro-RO"/>
              </w:rPr>
              <w:t>Consideram necesara reglementarea prin Metodologie, a preluărilor de capacități de către OD, indiferent dacă acestea sunt preluate în proprietate sau în folosință.</w:t>
            </w:r>
          </w:p>
        </w:tc>
        <w:tc>
          <w:tcPr>
            <w:tcW w:w="790" w:type="pct"/>
            <w:tcBorders>
              <w:top w:val="single" w:sz="4" w:space="0" w:color="auto"/>
              <w:left w:val="nil"/>
              <w:bottom w:val="single" w:sz="4" w:space="0" w:color="auto"/>
              <w:right w:val="single" w:sz="4" w:space="0" w:color="auto"/>
            </w:tcBorders>
            <w:shd w:val="clear" w:color="auto" w:fill="auto"/>
            <w:hideMark/>
          </w:tcPr>
          <w:p w14:paraId="049DEA44" w14:textId="77777777" w:rsidR="00720795" w:rsidRPr="00720795" w:rsidRDefault="00720795" w:rsidP="00720795">
            <w:pPr>
              <w:spacing w:after="0" w:line="240" w:lineRule="auto"/>
              <w:rPr>
                <w:rFonts w:ascii="Times New Roman" w:eastAsia="Times New Roman" w:hAnsi="Times New Roman" w:cs="Times New Roman"/>
                <w:color w:val="000000"/>
                <w:sz w:val="20"/>
                <w:szCs w:val="20"/>
                <w:lang w:eastAsia="ro-RO"/>
              </w:rPr>
            </w:pPr>
            <w:r w:rsidRPr="00720795">
              <w:rPr>
                <w:rFonts w:ascii="Times New Roman" w:eastAsia="Times New Roman" w:hAnsi="Times New Roman" w:cs="Times New Roman"/>
                <w:b/>
                <w:bCs/>
                <w:color w:val="000000"/>
                <w:sz w:val="20"/>
                <w:szCs w:val="20"/>
                <w:lang w:eastAsia="ro-RO"/>
              </w:rPr>
              <w:t>Se respinge.</w:t>
            </w:r>
            <w:r w:rsidRPr="00720795">
              <w:rPr>
                <w:rFonts w:ascii="Times New Roman" w:eastAsia="Times New Roman" w:hAnsi="Times New Roman" w:cs="Times New Roman"/>
                <w:color w:val="000000"/>
                <w:sz w:val="20"/>
                <w:szCs w:val="20"/>
                <w:lang w:eastAsia="ro-RO"/>
              </w:rPr>
              <w:br/>
              <w:t>Metodologia reglementează exclusiv preluarea prin contract de vânzare-cumpărare a capacităților energetice de distribuție rezultate din cazurile prevăzute la art. 44 alin. (8) și art. 46 alin. (2</w:t>
            </w:r>
            <w:r w:rsidRPr="00720795">
              <w:rPr>
                <w:rFonts w:ascii="Times New Roman" w:eastAsia="Times New Roman" w:hAnsi="Times New Roman" w:cs="Times New Roman"/>
                <w:color w:val="000000"/>
                <w:sz w:val="20"/>
                <w:szCs w:val="20"/>
                <w:vertAlign w:val="superscript"/>
                <w:lang w:eastAsia="ro-RO"/>
              </w:rPr>
              <w:t>2</w:t>
            </w:r>
            <w:r w:rsidRPr="00720795">
              <w:rPr>
                <w:rFonts w:ascii="Times New Roman" w:eastAsia="Times New Roman" w:hAnsi="Times New Roman" w:cs="Times New Roman"/>
                <w:color w:val="000000"/>
                <w:sz w:val="20"/>
                <w:szCs w:val="20"/>
                <w:lang w:eastAsia="ro-RO"/>
              </w:rPr>
              <w:t>) din Legea 123/2012 cu modificările și completările ulterioare.</w:t>
            </w:r>
          </w:p>
        </w:tc>
      </w:tr>
    </w:tbl>
    <w:p w14:paraId="70B71BD1" w14:textId="77777777" w:rsidR="00720795" w:rsidRPr="00720795" w:rsidRDefault="00720795" w:rsidP="00720795">
      <w:pPr>
        <w:spacing w:after="0" w:line="240" w:lineRule="auto"/>
        <w:rPr>
          <w:rFonts w:ascii="Times New Roman" w:eastAsia="Times New Roman" w:hAnsi="Times New Roman" w:cs="Times New Roman"/>
          <w:b/>
          <w:bCs/>
          <w:color w:val="000000"/>
          <w:sz w:val="24"/>
          <w:szCs w:val="24"/>
          <w:lang w:eastAsia="ro-RO"/>
        </w:rPr>
      </w:pPr>
      <w:r w:rsidRPr="00720795">
        <w:rPr>
          <w:rFonts w:ascii="Times New Roman" w:eastAsia="Times New Roman" w:hAnsi="Times New Roman" w:cs="Times New Roman"/>
          <w:b/>
          <w:bCs/>
          <w:color w:val="000000"/>
          <w:sz w:val="24"/>
          <w:szCs w:val="24"/>
          <w:lang w:eastAsia="ro-RO"/>
        </w:rPr>
        <w:t>Anexa - Metodologie privind reglementarea condițiilor pentru preluarea în proprietate de capacități energetice de distribuție a energiei electrice</w:t>
      </w:r>
    </w:p>
    <w:tbl>
      <w:tblPr>
        <w:tblW w:w="5000" w:type="pct"/>
        <w:tblLook w:val="04A0" w:firstRow="1" w:lastRow="0" w:firstColumn="1" w:lastColumn="0" w:noHBand="0" w:noVBand="1"/>
      </w:tblPr>
      <w:tblGrid>
        <w:gridCol w:w="715"/>
        <w:gridCol w:w="773"/>
        <w:gridCol w:w="2740"/>
        <w:gridCol w:w="1956"/>
        <w:gridCol w:w="3388"/>
        <w:gridCol w:w="2714"/>
        <w:gridCol w:w="2305"/>
      </w:tblGrid>
      <w:tr w:rsidR="00066F52" w:rsidRPr="00066F52" w14:paraId="4586455A" w14:textId="77777777" w:rsidTr="00720795">
        <w:trPr>
          <w:trHeight w:val="684"/>
          <w:tblHeader/>
        </w:trPr>
        <w:tc>
          <w:tcPr>
            <w:tcW w:w="2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3DB3C5" w14:textId="77777777" w:rsidR="00066F52" w:rsidRPr="00066F52" w:rsidRDefault="00066F52" w:rsidP="00066F52">
            <w:pPr>
              <w:spacing w:after="0" w:line="240" w:lineRule="auto"/>
              <w:jc w:val="center"/>
              <w:rPr>
                <w:rFonts w:ascii="Times New Roman" w:eastAsia="Times New Roman" w:hAnsi="Times New Roman" w:cs="Times New Roman"/>
                <w:b/>
                <w:bCs/>
                <w:color w:val="000000"/>
                <w:sz w:val="20"/>
                <w:szCs w:val="20"/>
                <w:lang w:eastAsia="ro-RO"/>
              </w:rPr>
            </w:pPr>
            <w:bookmarkStart w:id="1" w:name="RANGE!A1"/>
            <w:bookmarkStart w:id="2" w:name="_Hlk54383575"/>
            <w:r w:rsidRPr="00066F52">
              <w:rPr>
                <w:rFonts w:ascii="Times New Roman" w:eastAsia="Times New Roman" w:hAnsi="Times New Roman" w:cs="Times New Roman"/>
                <w:b/>
                <w:bCs/>
                <w:color w:val="000000"/>
                <w:sz w:val="20"/>
                <w:szCs w:val="20"/>
                <w:lang w:eastAsia="ro-RO"/>
              </w:rPr>
              <w:t>Nr. crt.</w:t>
            </w:r>
            <w:bookmarkEnd w:id="1"/>
          </w:p>
        </w:tc>
        <w:tc>
          <w:tcPr>
            <w:tcW w:w="265" w:type="pct"/>
            <w:tcBorders>
              <w:top w:val="single" w:sz="4" w:space="0" w:color="auto"/>
              <w:left w:val="nil"/>
              <w:bottom w:val="single" w:sz="4" w:space="0" w:color="auto"/>
              <w:right w:val="single" w:sz="4" w:space="0" w:color="auto"/>
            </w:tcBorders>
            <w:shd w:val="clear" w:color="auto" w:fill="auto"/>
            <w:vAlign w:val="center"/>
            <w:hideMark/>
          </w:tcPr>
          <w:p w14:paraId="76266D4C" w14:textId="77777777" w:rsidR="00066F52" w:rsidRPr="00066F52" w:rsidRDefault="00066F52" w:rsidP="00066F52">
            <w:pPr>
              <w:spacing w:after="0" w:line="240" w:lineRule="auto"/>
              <w:jc w:val="center"/>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Nr. articol</w:t>
            </w:r>
          </w:p>
        </w:tc>
        <w:tc>
          <w:tcPr>
            <w:tcW w:w="939" w:type="pct"/>
            <w:tcBorders>
              <w:top w:val="single" w:sz="4" w:space="0" w:color="auto"/>
              <w:left w:val="nil"/>
              <w:bottom w:val="single" w:sz="4" w:space="0" w:color="auto"/>
              <w:right w:val="single" w:sz="4" w:space="0" w:color="auto"/>
            </w:tcBorders>
            <w:shd w:val="clear" w:color="auto" w:fill="auto"/>
            <w:vAlign w:val="center"/>
            <w:hideMark/>
          </w:tcPr>
          <w:p w14:paraId="3B3BE98E" w14:textId="77777777" w:rsidR="00066F52" w:rsidRPr="00066F52" w:rsidRDefault="00066F52" w:rsidP="00066F52">
            <w:pPr>
              <w:spacing w:after="0" w:line="240" w:lineRule="auto"/>
              <w:jc w:val="center"/>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Text inițial propunere reglementare</w:t>
            </w:r>
          </w:p>
        </w:tc>
        <w:tc>
          <w:tcPr>
            <w:tcW w:w="670" w:type="pct"/>
            <w:tcBorders>
              <w:top w:val="single" w:sz="4" w:space="0" w:color="auto"/>
              <w:left w:val="nil"/>
              <w:bottom w:val="single" w:sz="4" w:space="0" w:color="auto"/>
              <w:right w:val="single" w:sz="4" w:space="0" w:color="auto"/>
            </w:tcBorders>
            <w:shd w:val="clear" w:color="auto" w:fill="auto"/>
            <w:vAlign w:val="center"/>
            <w:hideMark/>
          </w:tcPr>
          <w:p w14:paraId="047BCAA0" w14:textId="2E2B3A33" w:rsidR="00066F52" w:rsidRPr="00066F52" w:rsidRDefault="00066F52" w:rsidP="00066F52">
            <w:pPr>
              <w:spacing w:after="0" w:line="240" w:lineRule="auto"/>
              <w:jc w:val="center"/>
              <w:rPr>
                <w:rFonts w:ascii="Times New Roman" w:eastAsia="Times New Roman" w:hAnsi="Times New Roman" w:cs="Times New Roman"/>
                <w:b/>
                <w:bCs/>
                <w:color w:val="000000"/>
                <w:sz w:val="18"/>
                <w:szCs w:val="18"/>
                <w:lang w:eastAsia="ro-RO"/>
              </w:rPr>
            </w:pPr>
            <w:r w:rsidRPr="00066F52">
              <w:rPr>
                <w:rFonts w:ascii="Times New Roman" w:eastAsia="Times New Roman" w:hAnsi="Times New Roman" w:cs="Times New Roman"/>
                <w:b/>
                <w:bCs/>
                <w:color w:val="000000"/>
                <w:sz w:val="18"/>
                <w:szCs w:val="18"/>
                <w:lang w:eastAsia="ro-RO"/>
              </w:rPr>
              <w:t>Operator</w:t>
            </w:r>
            <w:r w:rsidR="005F1394">
              <w:rPr>
                <w:rFonts w:ascii="Times New Roman" w:eastAsia="Times New Roman" w:hAnsi="Times New Roman" w:cs="Times New Roman"/>
                <w:b/>
                <w:bCs/>
                <w:color w:val="000000"/>
                <w:sz w:val="18"/>
                <w:szCs w:val="18"/>
                <w:lang w:eastAsia="ro-RO"/>
              </w:rPr>
              <w:t>ul</w:t>
            </w:r>
            <w:r w:rsidRPr="00066F52">
              <w:rPr>
                <w:rFonts w:ascii="Times New Roman" w:eastAsia="Times New Roman" w:hAnsi="Times New Roman" w:cs="Times New Roman"/>
                <w:b/>
                <w:bCs/>
                <w:color w:val="000000"/>
                <w:sz w:val="18"/>
                <w:szCs w:val="18"/>
                <w:lang w:eastAsia="ro-RO"/>
              </w:rPr>
              <w:t xml:space="preserve"> economic care formulează propunerea de modificare/completare</w:t>
            </w:r>
          </w:p>
        </w:tc>
        <w:tc>
          <w:tcPr>
            <w:tcW w:w="1161" w:type="pct"/>
            <w:tcBorders>
              <w:top w:val="single" w:sz="4" w:space="0" w:color="auto"/>
              <w:left w:val="nil"/>
              <w:bottom w:val="single" w:sz="4" w:space="0" w:color="auto"/>
              <w:right w:val="single" w:sz="4" w:space="0" w:color="auto"/>
            </w:tcBorders>
            <w:shd w:val="clear" w:color="auto" w:fill="auto"/>
            <w:vAlign w:val="center"/>
            <w:hideMark/>
          </w:tcPr>
          <w:p w14:paraId="1C190E08" w14:textId="77777777" w:rsidR="00066F52" w:rsidRPr="00066F52" w:rsidRDefault="00066F52" w:rsidP="00066F52">
            <w:pPr>
              <w:spacing w:after="0" w:line="240" w:lineRule="auto"/>
              <w:jc w:val="center"/>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Text propus pentru modificare/completare</w:t>
            </w:r>
          </w:p>
        </w:tc>
        <w:tc>
          <w:tcPr>
            <w:tcW w:w="930" w:type="pct"/>
            <w:tcBorders>
              <w:top w:val="single" w:sz="4" w:space="0" w:color="auto"/>
              <w:left w:val="nil"/>
              <w:bottom w:val="single" w:sz="4" w:space="0" w:color="auto"/>
              <w:right w:val="single" w:sz="4" w:space="0" w:color="auto"/>
            </w:tcBorders>
            <w:shd w:val="clear" w:color="auto" w:fill="auto"/>
            <w:vAlign w:val="center"/>
            <w:hideMark/>
          </w:tcPr>
          <w:p w14:paraId="083BFB56" w14:textId="77777777" w:rsidR="00066F52" w:rsidRPr="00066F52" w:rsidRDefault="00066F52" w:rsidP="00066F52">
            <w:pPr>
              <w:spacing w:after="0" w:line="240" w:lineRule="auto"/>
              <w:jc w:val="center"/>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Motivația propunerii de modificare/completare</w:t>
            </w:r>
          </w:p>
        </w:tc>
        <w:tc>
          <w:tcPr>
            <w:tcW w:w="790" w:type="pct"/>
            <w:tcBorders>
              <w:top w:val="single" w:sz="4" w:space="0" w:color="auto"/>
              <w:left w:val="nil"/>
              <w:bottom w:val="single" w:sz="4" w:space="0" w:color="auto"/>
              <w:right w:val="single" w:sz="4" w:space="0" w:color="auto"/>
            </w:tcBorders>
            <w:shd w:val="clear" w:color="auto" w:fill="auto"/>
            <w:vAlign w:val="center"/>
            <w:hideMark/>
          </w:tcPr>
          <w:p w14:paraId="0025CF17" w14:textId="77777777" w:rsidR="00066F52" w:rsidRPr="00066F52" w:rsidRDefault="00066F52" w:rsidP="00066F52">
            <w:pPr>
              <w:spacing w:after="0" w:line="240" w:lineRule="auto"/>
              <w:jc w:val="center"/>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Rezoluția ANRE</w:t>
            </w:r>
          </w:p>
        </w:tc>
      </w:tr>
      <w:bookmarkEnd w:id="2"/>
      <w:tr w:rsidR="00066F52" w:rsidRPr="00066F52" w14:paraId="40C0149A" w14:textId="77777777" w:rsidTr="00720795">
        <w:trPr>
          <w:trHeight w:val="1896"/>
        </w:trPr>
        <w:tc>
          <w:tcPr>
            <w:tcW w:w="245" w:type="pct"/>
            <w:tcBorders>
              <w:top w:val="nil"/>
              <w:left w:val="single" w:sz="4" w:space="0" w:color="auto"/>
              <w:bottom w:val="single" w:sz="4" w:space="0" w:color="auto"/>
              <w:right w:val="single" w:sz="4" w:space="0" w:color="auto"/>
            </w:tcBorders>
            <w:shd w:val="clear" w:color="auto" w:fill="auto"/>
            <w:hideMark/>
          </w:tcPr>
          <w:p w14:paraId="4B1F56AD"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1</w:t>
            </w:r>
          </w:p>
        </w:tc>
        <w:tc>
          <w:tcPr>
            <w:tcW w:w="265" w:type="pct"/>
            <w:vMerge w:val="restart"/>
            <w:tcBorders>
              <w:top w:val="nil"/>
              <w:left w:val="single" w:sz="4" w:space="0" w:color="auto"/>
              <w:bottom w:val="single" w:sz="4" w:space="0" w:color="auto"/>
              <w:right w:val="single" w:sz="4" w:space="0" w:color="auto"/>
            </w:tcBorders>
            <w:shd w:val="clear" w:color="auto" w:fill="auto"/>
            <w:hideMark/>
          </w:tcPr>
          <w:p w14:paraId="0C4D0FEE" w14:textId="77777777" w:rsidR="00066F52" w:rsidRPr="00066F52" w:rsidRDefault="00066F52" w:rsidP="00066F52">
            <w:pPr>
              <w:spacing w:after="0" w:line="240" w:lineRule="auto"/>
              <w:jc w:val="center"/>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1</w:t>
            </w:r>
          </w:p>
        </w:tc>
        <w:tc>
          <w:tcPr>
            <w:tcW w:w="939" w:type="pct"/>
            <w:vMerge w:val="restart"/>
            <w:tcBorders>
              <w:top w:val="nil"/>
              <w:left w:val="single" w:sz="4" w:space="0" w:color="auto"/>
              <w:bottom w:val="single" w:sz="4" w:space="0" w:color="auto"/>
              <w:right w:val="single" w:sz="4" w:space="0" w:color="auto"/>
            </w:tcBorders>
            <w:shd w:val="clear" w:color="auto" w:fill="auto"/>
            <w:hideMark/>
          </w:tcPr>
          <w:p w14:paraId="0368D237"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Prezenta metodologie stabilește condițiile de vânzare a capacităților energetice de distribuție de către o persoană fizică/juridică și de preluare în proprietate a acestora de către operatorul de distribuție concesionar, în situaţiile prevǎzute la art. 44 alin. (8) şi la art. 46 alin. (2</w:t>
            </w:r>
            <w:r w:rsidRPr="00066F52">
              <w:rPr>
                <w:rFonts w:ascii="Times New Roman" w:eastAsia="Times New Roman" w:hAnsi="Times New Roman" w:cs="Times New Roman"/>
                <w:color w:val="000000"/>
                <w:sz w:val="20"/>
                <w:szCs w:val="20"/>
                <w:vertAlign w:val="superscript"/>
                <w:lang w:eastAsia="ro-RO"/>
              </w:rPr>
              <w:t>2</w:t>
            </w:r>
            <w:r w:rsidRPr="00066F52">
              <w:rPr>
                <w:rFonts w:ascii="Times New Roman" w:eastAsia="Times New Roman" w:hAnsi="Times New Roman" w:cs="Times New Roman"/>
                <w:color w:val="000000"/>
                <w:sz w:val="20"/>
                <w:szCs w:val="20"/>
                <w:lang w:eastAsia="ro-RO"/>
              </w:rPr>
              <w:t xml:space="preserve">) din Legea energiei electrice și a gazelor </w:t>
            </w:r>
            <w:r w:rsidRPr="00066F52">
              <w:rPr>
                <w:rFonts w:ascii="Times New Roman" w:eastAsia="Times New Roman" w:hAnsi="Times New Roman" w:cs="Times New Roman"/>
                <w:color w:val="000000"/>
                <w:sz w:val="20"/>
                <w:szCs w:val="20"/>
                <w:lang w:eastAsia="ro-RO"/>
              </w:rPr>
              <w:lastRenderedPageBreak/>
              <w:t>naturale nr. 123/2012, cu modificările și completările ulterioare.</w:t>
            </w:r>
          </w:p>
        </w:tc>
        <w:tc>
          <w:tcPr>
            <w:tcW w:w="670" w:type="pct"/>
            <w:tcBorders>
              <w:top w:val="nil"/>
              <w:left w:val="nil"/>
              <w:bottom w:val="single" w:sz="4" w:space="0" w:color="auto"/>
              <w:right w:val="single" w:sz="4" w:space="0" w:color="auto"/>
            </w:tcBorders>
            <w:shd w:val="clear" w:color="auto" w:fill="auto"/>
            <w:hideMark/>
          </w:tcPr>
          <w:p w14:paraId="675536A9"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lastRenderedPageBreak/>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4B1ED174"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xml:space="preserve">Prezenta metodologie stabilește condițiile de vânzare a capacităților energetice </w:t>
            </w:r>
            <w:r w:rsidRPr="00066F52">
              <w:rPr>
                <w:rFonts w:ascii="Times New Roman" w:eastAsia="Times New Roman" w:hAnsi="Times New Roman" w:cs="Times New Roman"/>
                <w:strike/>
                <w:color w:val="000000"/>
                <w:sz w:val="20"/>
                <w:szCs w:val="20"/>
                <w:lang w:eastAsia="ro-RO"/>
              </w:rPr>
              <w:t>de distribuție</w:t>
            </w:r>
            <w:r w:rsidRPr="00066F52">
              <w:rPr>
                <w:rFonts w:ascii="Times New Roman" w:eastAsia="Times New Roman" w:hAnsi="Times New Roman" w:cs="Times New Roman"/>
                <w:color w:val="000000"/>
                <w:sz w:val="20"/>
                <w:szCs w:val="20"/>
                <w:lang w:eastAsia="ro-RO"/>
              </w:rPr>
              <w:t xml:space="preserve">  de către o persoană fizică/juridică și de preluare în proprietate a acestora de către operatorul de distribuție concesionar, în situaţiile </w:t>
            </w:r>
            <w:r w:rsidRPr="00066F52">
              <w:rPr>
                <w:rFonts w:ascii="Times New Roman" w:eastAsia="Times New Roman" w:hAnsi="Times New Roman" w:cs="Times New Roman"/>
                <w:strike/>
                <w:color w:val="000000"/>
                <w:sz w:val="20"/>
                <w:szCs w:val="20"/>
                <w:lang w:eastAsia="ro-RO"/>
              </w:rPr>
              <w:t>prevǎzute la art. 44 alin. (8) şi la art. 46 alin. (2</w:t>
            </w:r>
            <w:r w:rsidRPr="00066F52">
              <w:rPr>
                <w:rFonts w:ascii="Times New Roman" w:eastAsia="Times New Roman" w:hAnsi="Times New Roman" w:cs="Times New Roman"/>
                <w:strike/>
                <w:color w:val="000000"/>
                <w:sz w:val="20"/>
                <w:szCs w:val="20"/>
                <w:vertAlign w:val="superscript"/>
                <w:lang w:eastAsia="ro-RO"/>
              </w:rPr>
              <w:t>2</w:t>
            </w:r>
            <w:r w:rsidRPr="00066F52">
              <w:rPr>
                <w:rFonts w:ascii="Times New Roman" w:eastAsia="Times New Roman" w:hAnsi="Times New Roman" w:cs="Times New Roman"/>
                <w:strike/>
                <w:color w:val="000000"/>
                <w:sz w:val="20"/>
                <w:szCs w:val="20"/>
                <w:lang w:eastAsia="ro-RO"/>
              </w:rPr>
              <w:t>) din Legea energiei electrice și a gazelor naturale nr. 123/2012, cu modificările și completările ulterioare</w:t>
            </w:r>
            <w:r w:rsidRPr="00066F52">
              <w:rPr>
                <w:rFonts w:ascii="Times New Roman" w:eastAsia="Times New Roman" w:hAnsi="Times New Roman" w:cs="Times New Roman"/>
                <w:color w:val="000000"/>
                <w:sz w:val="20"/>
                <w:szCs w:val="20"/>
                <w:lang w:eastAsia="ro-RO"/>
              </w:rPr>
              <w:t xml:space="preserve"> </w:t>
            </w:r>
            <w:r w:rsidRPr="00066F52">
              <w:rPr>
                <w:rFonts w:ascii="Times New Roman" w:eastAsia="Times New Roman" w:hAnsi="Times New Roman" w:cs="Times New Roman"/>
                <w:color w:val="FF0000"/>
                <w:sz w:val="20"/>
                <w:szCs w:val="20"/>
                <w:lang w:eastAsia="ro-RO"/>
              </w:rPr>
              <w:t>următoare:</w:t>
            </w:r>
          </w:p>
        </w:tc>
        <w:tc>
          <w:tcPr>
            <w:tcW w:w="930" w:type="pct"/>
            <w:vMerge w:val="restart"/>
            <w:tcBorders>
              <w:top w:val="nil"/>
              <w:left w:val="single" w:sz="4" w:space="0" w:color="auto"/>
              <w:bottom w:val="single" w:sz="4" w:space="0" w:color="auto"/>
              <w:right w:val="single" w:sz="4" w:space="0" w:color="auto"/>
            </w:tcBorders>
            <w:shd w:val="clear" w:color="auto" w:fill="auto"/>
            <w:hideMark/>
          </w:tcPr>
          <w:p w14:paraId="785623BB"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Articolul 46 alin. (2</w:t>
            </w:r>
            <w:r w:rsidRPr="00066F52">
              <w:rPr>
                <w:rFonts w:ascii="Times New Roman" w:eastAsia="Times New Roman" w:hAnsi="Times New Roman" w:cs="Times New Roman"/>
                <w:color w:val="000000"/>
                <w:sz w:val="20"/>
                <w:szCs w:val="20"/>
                <w:vertAlign w:val="superscript"/>
                <w:lang w:eastAsia="ro-RO"/>
              </w:rPr>
              <w:t>2</w:t>
            </w:r>
            <w:r w:rsidRPr="00066F52">
              <w:rPr>
                <w:rFonts w:ascii="Times New Roman" w:eastAsia="Times New Roman" w:hAnsi="Times New Roman" w:cs="Times New Roman"/>
                <w:color w:val="000000"/>
                <w:sz w:val="20"/>
                <w:szCs w:val="20"/>
                <w:lang w:eastAsia="ro-RO"/>
              </w:rPr>
              <w:t>) din Lege face referire la detinatorii de reţele de distribuţie a energiei electrice care  presteaza  serviciul de distribuţie si consideram ca acest lucru trebuie să rezulte din textul metodologiei propuse de ANRE.</w:t>
            </w:r>
            <w:r w:rsidRPr="00066F52">
              <w:rPr>
                <w:rFonts w:ascii="Times New Roman" w:eastAsia="Times New Roman" w:hAnsi="Times New Roman" w:cs="Times New Roman"/>
                <w:color w:val="000000"/>
                <w:sz w:val="20"/>
                <w:szCs w:val="20"/>
                <w:lang w:eastAsia="ro-RO"/>
              </w:rPr>
              <w:br/>
              <w:t xml:space="preserve">Trebuie făcută distincția între capacitatea energetică și rețea </w:t>
            </w:r>
            <w:r w:rsidRPr="00066F52">
              <w:rPr>
                <w:rFonts w:ascii="Times New Roman" w:eastAsia="Times New Roman" w:hAnsi="Times New Roman" w:cs="Times New Roman"/>
                <w:color w:val="000000"/>
                <w:sz w:val="20"/>
                <w:szCs w:val="20"/>
                <w:lang w:eastAsia="ro-RO"/>
              </w:rPr>
              <w:lastRenderedPageBreak/>
              <w:t>prin care se asigură prestarea serviciului de Distribuție.</w:t>
            </w:r>
          </w:p>
        </w:tc>
        <w:tc>
          <w:tcPr>
            <w:tcW w:w="790" w:type="pct"/>
            <w:vMerge w:val="restart"/>
            <w:tcBorders>
              <w:top w:val="nil"/>
              <w:left w:val="single" w:sz="4" w:space="0" w:color="auto"/>
              <w:bottom w:val="single" w:sz="4" w:space="0" w:color="auto"/>
              <w:right w:val="single" w:sz="4" w:space="0" w:color="auto"/>
            </w:tcBorders>
            <w:shd w:val="clear" w:color="auto" w:fill="auto"/>
            <w:hideMark/>
          </w:tcPr>
          <w:p w14:paraId="1BA5BFE9"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lastRenderedPageBreak/>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 xml:space="preserve">Metodologia are scopul de a reglementa preluările, în proprietate,  de capacități energetice de distribuție, de către operatorul de distribuție concesionar (ODC), în baza prevederilor art. 44 alin. (8) și art. 46 (22) din Legea 123/2012 cu </w:t>
            </w:r>
            <w:r w:rsidRPr="00066F52">
              <w:rPr>
                <w:rFonts w:ascii="Times New Roman" w:eastAsia="Times New Roman" w:hAnsi="Times New Roman" w:cs="Times New Roman"/>
                <w:color w:val="000000"/>
                <w:sz w:val="20"/>
                <w:szCs w:val="20"/>
                <w:lang w:eastAsia="ro-RO"/>
              </w:rPr>
              <w:lastRenderedPageBreak/>
              <w:t>modificările și completările ulterioare. Alte achiziții de rețele sau elemente de rețea sunt activități comerciale ale ODC care nu fac obiectul acestei Metodologii.</w:t>
            </w:r>
            <w:r w:rsidRPr="00066F52">
              <w:rPr>
                <w:rFonts w:ascii="Times New Roman" w:eastAsia="Times New Roman" w:hAnsi="Times New Roman" w:cs="Times New Roman"/>
                <w:color w:val="000000"/>
                <w:sz w:val="20"/>
                <w:szCs w:val="20"/>
                <w:lang w:eastAsia="ro-RO"/>
              </w:rPr>
              <w:br/>
              <w:t>Evidențierea distinctă a noțiunilor de „capacitate energetică” și „rețea electrică” nu este necesară. A se vedea definiția capacității energetice din Legea 123/2012 .</w:t>
            </w:r>
          </w:p>
        </w:tc>
      </w:tr>
      <w:tr w:rsidR="00066F52" w:rsidRPr="00066F52" w14:paraId="0AE0E43B" w14:textId="77777777" w:rsidTr="00720795">
        <w:trPr>
          <w:trHeight w:val="1056"/>
        </w:trPr>
        <w:tc>
          <w:tcPr>
            <w:tcW w:w="245" w:type="pct"/>
            <w:tcBorders>
              <w:top w:val="nil"/>
              <w:left w:val="single" w:sz="4" w:space="0" w:color="auto"/>
              <w:bottom w:val="single" w:sz="4" w:space="0" w:color="auto"/>
              <w:right w:val="single" w:sz="4" w:space="0" w:color="auto"/>
            </w:tcBorders>
            <w:shd w:val="clear" w:color="auto" w:fill="auto"/>
            <w:hideMark/>
          </w:tcPr>
          <w:p w14:paraId="23E33250"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lastRenderedPageBreak/>
              <w:t>2</w:t>
            </w:r>
          </w:p>
        </w:tc>
        <w:tc>
          <w:tcPr>
            <w:tcW w:w="265" w:type="pct"/>
            <w:vMerge/>
            <w:tcBorders>
              <w:top w:val="nil"/>
              <w:left w:val="single" w:sz="4" w:space="0" w:color="auto"/>
              <w:bottom w:val="single" w:sz="4" w:space="0" w:color="auto"/>
              <w:right w:val="single" w:sz="4" w:space="0" w:color="auto"/>
            </w:tcBorders>
            <w:vAlign w:val="center"/>
            <w:hideMark/>
          </w:tcPr>
          <w:p w14:paraId="5E0DDCC9"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c>
          <w:tcPr>
            <w:tcW w:w="939" w:type="pct"/>
            <w:vMerge/>
            <w:tcBorders>
              <w:top w:val="nil"/>
              <w:left w:val="single" w:sz="4" w:space="0" w:color="auto"/>
              <w:bottom w:val="single" w:sz="4" w:space="0" w:color="auto"/>
              <w:right w:val="single" w:sz="4" w:space="0" w:color="auto"/>
            </w:tcBorders>
            <w:vAlign w:val="center"/>
            <w:hideMark/>
          </w:tcPr>
          <w:p w14:paraId="54DBEDED"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p>
        </w:tc>
        <w:tc>
          <w:tcPr>
            <w:tcW w:w="670" w:type="pct"/>
            <w:tcBorders>
              <w:top w:val="nil"/>
              <w:left w:val="nil"/>
              <w:bottom w:val="single" w:sz="4" w:space="0" w:color="auto"/>
              <w:right w:val="single" w:sz="4" w:space="0" w:color="auto"/>
            </w:tcBorders>
            <w:shd w:val="clear" w:color="auto" w:fill="auto"/>
            <w:hideMark/>
          </w:tcPr>
          <w:p w14:paraId="14436DF3"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79DDB660"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-preluarea de capacități energetice prevǎzute la art. 44 alin. (8) din Legea energiei electrice și a gazelor naturale nr. 123/2012, cu modificările și completările ulterioare;</w:t>
            </w:r>
          </w:p>
        </w:tc>
        <w:tc>
          <w:tcPr>
            <w:tcW w:w="930" w:type="pct"/>
            <w:vMerge/>
            <w:tcBorders>
              <w:top w:val="nil"/>
              <w:left w:val="single" w:sz="4" w:space="0" w:color="auto"/>
              <w:bottom w:val="single" w:sz="4" w:space="0" w:color="auto"/>
              <w:right w:val="single" w:sz="4" w:space="0" w:color="auto"/>
            </w:tcBorders>
            <w:vAlign w:val="center"/>
            <w:hideMark/>
          </w:tcPr>
          <w:p w14:paraId="49AA7C6E"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p>
        </w:tc>
        <w:tc>
          <w:tcPr>
            <w:tcW w:w="790" w:type="pct"/>
            <w:vMerge/>
            <w:tcBorders>
              <w:top w:val="nil"/>
              <w:left w:val="single" w:sz="4" w:space="0" w:color="auto"/>
              <w:bottom w:val="single" w:sz="4" w:space="0" w:color="auto"/>
              <w:right w:val="single" w:sz="4" w:space="0" w:color="auto"/>
            </w:tcBorders>
            <w:vAlign w:val="center"/>
            <w:hideMark/>
          </w:tcPr>
          <w:p w14:paraId="2C747608"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r>
      <w:tr w:rsidR="00066F52" w:rsidRPr="00066F52" w14:paraId="1230FBF3" w14:textId="77777777" w:rsidTr="00720795">
        <w:trPr>
          <w:trHeight w:val="1056"/>
        </w:trPr>
        <w:tc>
          <w:tcPr>
            <w:tcW w:w="245" w:type="pct"/>
            <w:tcBorders>
              <w:top w:val="nil"/>
              <w:left w:val="single" w:sz="4" w:space="0" w:color="auto"/>
              <w:bottom w:val="single" w:sz="4" w:space="0" w:color="auto"/>
              <w:right w:val="single" w:sz="4" w:space="0" w:color="auto"/>
            </w:tcBorders>
            <w:shd w:val="clear" w:color="auto" w:fill="auto"/>
            <w:hideMark/>
          </w:tcPr>
          <w:p w14:paraId="70A05E4F"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3</w:t>
            </w:r>
          </w:p>
        </w:tc>
        <w:tc>
          <w:tcPr>
            <w:tcW w:w="265" w:type="pct"/>
            <w:vMerge/>
            <w:tcBorders>
              <w:top w:val="nil"/>
              <w:left w:val="single" w:sz="4" w:space="0" w:color="auto"/>
              <w:bottom w:val="single" w:sz="4" w:space="0" w:color="auto"/>
              <w:right w:val="single" w:sz="4" w:space="0" w:color="auto"/>
            </w:tcBorders>
            <w:vAlign w:val="center"/>
            <w:hideMark/>
          </w:tcPr>
          <w:p w14:paraId="534EE35A"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c>
          <w:tcPr>
            <w:tcW w:w="939" w:type="pct"/>
            <w:vMerge/>
            <w:tcBorders>
              <w:top w:val="nil"/>
              <w:left w:val="single" w:sz="4" w:space="0" w:color="auto"/>
              <w:bottom w:val="single" w:sz="4" w:space="0" w:color="auto"/>
              <w:right w:val="single" w:sz="4" w:space="0" w:color="auto"/>
            </w:tcBorders>
            <w:vAlign w:val="center"/>
            <w:hideMark/>
          </w:tcPr>
          <w:p w14:paraId="1474C7D8"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p>
        </w:tc>
        <w:tc>
          <w:tcPr>
            <w:tcW w:w="670" w:type="pct"/>
            <w:tcBorders>
              <w:top w:val="nil"/>
              <w:left w:val="nil"/>
              <w:bottom w:val="single" w:sz="4" w:space="0" w:color="auto"/>
              <w:right w:val="single" w:sz="4" w:space="0" w:color="auto"/>
            </w:tcBorders>
            <w:shd w:val="clear" w:color="auto" w:fill="auto"/>
            <w:hideMark/>
          </w:tcPr>
          <w:p w14:paraId="5F235C45"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6A97A2BF"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-preluarea de rețele de distribuție prevazută  la art. 46 alin. (2</w:t>
            </w:r>
            <w:r w:rsidRPr="00066F52">
              <w:rPr>
                <w:rFonts w:ascii="Times New Roman" w:eastAsia="Times New Roman" w:hAnsi="Times New Roman" w:cs="Times New Roman"/>
                <w:color w:val="FF0000"/>
                <w:sz w:val="20"/>
                <w:szCs w:val="20"/>
                <w:vertAlign w:val="superscript"/>
                <w:lang w:eastAsia="ro-RO"/>
              </w:rPr>
              <w:t>2</w:t>
            </w:r>
            <w:r w:rsidRPr="00066F52">
              <w:rPr>
                <w:rFonts w:ascii="Times New Roman" w:eastAsia="Times New Roman" w:hAnsi="Times New Roman" w:cs="Times New Roman"/>
                <w:color w:val="FF0000"/>
                <w:sz w:val="20"/>
                <w:szCs w:val="20"/>
                <w:lang w:eastAsia="ro-RO"/>
              </w:rPr>
              <w:t>) din Legea energiei electrice și a gazelor naturale nr. 123/2012, cu modificările și completările ulterioare;</w:t>
            </w:r>
          </w:p>
        </w:tc>
        <w:tc>
          <w:tcPr>
            <w:tcW w:w="930" w:type="pct"/>
            <w:vMerge/>
            <w:tcBorders>
              <w:top w:val="nil"/>
              <w:left w:val="single" w:sz="4" w:space="0" w:color="auto"/>
              <w:bottom w:val="single" w:sz="4" w:space="0" w:color="auto"/>
              <w:right w:val="single" w:sz="4" w:space="0" w:color="auto"/>
            </w:tcBorders>
            <w:vAlign w:val="center"/>
            <w:hideMark/>
          </w:tcPr>
          <w:p w14:paraId="564B77DD"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p>
        </w:tc>
        <w:tc>
          <w:tcPr>
            <w:tcW w:w="790" w:type="pct"/>
            <w:vMerge/>
            <w:tcBorders>
              <w:top w:val="nil"/>
              <w:left w:val="single" w:sz="4" w:space="0" w:color="auto"/>
              <w:bottom w:val="single" w:sz="4" w:space="0" w:color="auto"/>
              <w:right w:val="single" w:sz="4" w:space="0" w:color="auto"/>
            </w:tcBorders>
            <w:vAlign w:val="center"/>
            <w:hideMark/>
          </w:tcPr>
          <w:p w14:paraId="28424A81"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r>
      <w:tr w:rsidR="00066F52" w:rsidRPr="00066F52" w14:paraId="09B136DF" w14:textId="77777777" w:rsidTr="00720795">
        <w:trPr>
          <w:trHeight w:val="1320"/>
        </w:trPr>
        <w:tc>
          <w:tcPr>
            <w:tcW w:w="245" w:type="pct"/>
            <w:tcBorders>
              <w:top w:val="nil"/>
              <w:left w:val="single" w:sz="4" w:space="0" w:color="auto"/>
              <w:bottom w:val="single" w:sz="4" w:space="0" w:color="auto"/>
              <w:right w:val="single" w:sz="4" w:space="0" w:color="auto"/>
            </w:tcBorders>
            <w:shd w:val="clear" w:color="auto" w:fill="auto"/>
            <w:hideMark/>
          </w:tcPr>
          <w:p w14:paraId="7C3E5EE2"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4</w:t>
            </w:r>
          </w:p>
        </w:tc>
        <w:tc>
          <w:tcPr>
            <w:tcW w:w="265" w:type="pct"/>
            <w:vMerge/>
            <w:tcBorders>
              <w:top w:val="nil"/>
              <w:left w:val="single" w:sz="4" w:space="0" w:color="auto"/>
              <w:bottom w:val="single" w:sz="4" w:space="0" w:color="auto"/>
              <w:right w:val="single" w:sz="4" w:space="0" w:color="auto"/>
            </w:tcBorders>
            <w:vAlign w:val="center"/>
            <w:hideMark/>
          </w:tcPr>
          <w:p w14:paraId="7FCAFA7C"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c>
          <w:tcPr>
            <w:tcW w:w="939" w:type="pct"/>
            <w:vMerge/>
            <w:tcBorders>
              <w:top w:val="nil"/>
              <w:left w:val="single" w:sz="4" w:space="0" w:color="auto"/>
              <w:bottom w:val="single" w:sz="4" w:space="0" w:color="auto"/>
              <w:right w:val="single" w:sz="4" w:space="0" w:color="auto"/>
            </w:tcBorders>
            <w:vAlign w:val="center"/>
            <w:hideMark/>
          </w:tcPr>
          <w:p w14:paraId="28F866F4"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p>
        </w:tc>
        <w:tc>
          <w:tcPr>
            <w:tcW w:w="670" w:type="pct"/>
            <w:tcBorders>
              <w:top w:val="nil"/>
              <w:left w:val="nil"/>
              <w:bottom w:val="single" w:sz="4" w:space="0" w:color="auto"/>
              <w:right w:val="single" w:sz="4" w:space="0" w:color="auto"/>
            </w:tcBorders>
            <w:shd w:val="clear" w:color="auto" w:fill="auto"/>
            <w:hideMark/>
          </w:tcPr>
          <w:p w14:paraId="5C925483"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74C1166E"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-preluarea  de rețele electrice și alte echipamente electroenergetice pe baza acordului de voinţă dintre persoana fizică/juridică deţinătoare a capacităţilor energetice de distribuţie care predă aceste capacităţi şi operatorul de distribuţie concesionar.</w:t>
            </w:r>
          </w:p>
        </w:tc>
        <w:tc>
          <w:tcPr>
            <w:tcW w:w="930" w:type="pct"/>
            <w:tcBorders>
              <w:top w:val="nil"/>
              <w:left w:val="nil"/>
              <w:bottom w:val="single" w:sz="4" w:space="0" w:color="auto"/>
              <w:right w:val="single" w:sz="4" w:space="0" w:color="auto"/>
            </w:tcBorders>
            <w:shd w:val="clear" w:color="auto" w:fill="auto"/>
            <w:hideMark/>
          </w:tcPr>
          <w:p w14:paraId="2E8668EE"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Întrucât există și alte situații decât cele prevăzute în textul de lege solicităm ca acestea  să fie  incluse în textul metodologiei</w:t>
            </w:r>
          </w:p>
        </w:tc>
        <w:tc>
          <w:tcPr>
            <w:tcW w:w="790" w:type="pct"/>
            <w:vMerge/>
            <w:tcBorders>
              <w:top w:val="nil"/>
              <w:left w:val="single" w:sz="4" w:space="0" w:color="auto"/>
              <w:bottom w:val="single" w:sz="4" w:space="0" w:color="auto"/>
              <w:right w:val="single" w:sz="4" w:space="0" w:color="auto"/>
            </w:tcBorders>
            <w:vAlign w:val="center"/>
            <w:hideMark/>
          </w:tcPr>
          <w:p w14:paraId="75744CBF"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r>
      <w:tr w:rsidR="00066F52" w:rsidRPr="00066F52" w14:paraId="23379EF1" w14:textId="77777777" w:rsidTr="00720795">
        <w:trPr>
          <w:trHeight w:val="4536"/>
        </w:trPr>
        <w:tc>
          <w:tcPr>
            <w:tcW w:w="245" w:type="pct"/>
            <w:tcBorders>
              <w:top w:val="nil"/>
              <w:left w:val="single" w:sz="4" w:space="0" w:color="auto"/>
              <w:bottom w:val="single" w:sz="4" w:space="0" w:color="auto"/>
              <w:right w:val="single" w:sz="4" w:space="0" w:color="auto"/>
            </w:tcBorders>
            <w:shd w:val="clear" w:color="auto" w:fill="auto"/>
            <w:hideMark/>
          </w:tcPr>
          <w:p w14:paraId="6E92C9AC"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5</w:t>
            </w:r>
          </w:p>
        </w:tc>
        <w:tc>
          <w:tcPr>
            <w:tcW w:w="265" w:type="pct"/>
            <w:vMerge/>
            <w:tcBorders>
              <w:top w:val="nil"/>
              <w:left w:val="single" w:sz="4" w:space="0" w:color="auto"/>
              <w:bottom w:val="single" w:sz="4" w:space="0" w:color="auto"/>
              <w:right w:val="single" w:sz="4" w:space="0" w:color="auto"/>
            </w:tcBorders>
            <w:vAlign w:val="center"/>
            <w:hideMark/>
          </w:tcPr>
          <w:p w14:paraId="104FC253"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c>
          <w:tcPr>
            <w:tcW w:w="939" w:type="pct"/>
            <w:vMerge/>
            <w:tcBorders>
              <w:top w:val="nil"/>
              <w:left w:val="single" w:sz="4" w:space="0" w:color="auto"/>
              <w:bottom w:val="single" w:sz="4" w:space="0" w:color="auto"/>
              <w:right w:val="single" w:sz="4" w:space="0" w:color="auto"/>
            </w:tcBorders>
            <w:vAlign w:val="center"/>
            <w:hideMark/>
          </w:tcPr>
          <w:p w14:paraId="5EDEA0EC"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p>
        </w:tc>
        <w:tc>
          <w:tcPr>
            <w:tcW w:w="670" w:type="pct"/>
            <w:tcBorders>
              <w:top w:val="nil"/>
              <w:left w:val="nil"/>
              <w:bottom w:val="single" w:sz="4" w:space="0" w:color="auto"/>
              <w:right w:val="single" w:sz="4" w:space="0" w:color="auto"/>
            </w:tcBorders>
            <w:shd w:val="clear" w:color="auto" w:fill="auto"/>
            <w:hideMark/>
          </w:tcPr>
          <w:p w14:paraId="1DD07579"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e-Distribuție</w:t>
            </w:r>
          </w:p>
        </w:tc>
        <w:tc>
          <w:tcPr>
            <w:tcW w:w="1161" w:type="pct"/>
            <w:tcBorders>
              <w:top w:val="nil"/>
              <w:left w:val="nil"/>
              <w:bottom w:val="single" w:sz="4" w:space="0" w:color="auto"/>
              <w:right w:val="single" w:sz="4" w:space="0" w:color="auto"/>
            </w:tcBorders>
            <w:shd w:val="clear" w:color="auto" w:fill="auto"/>
            <w:hideMark/>
          </w:tcPr>
          <w:p w14:paraId="61376079"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xml:space="preserve">Prezenta metodologie stabilește condițiile de vânzare a capacităților energetice de distribuție de către o persoană fizică/juridică și de preluare în proprietate </w:t>
            </w:r>
            <w:r w:rsidRPr="00066F52">
              <w:rPr>
                <w:rFonts w:ascii="Times New Roman" w:eastAsia="Times New Roman" w:hAnsi="Times New Roman" w:cs="Times New Roman"/>
                <w:color w:val="FF0000"/>
                <w:sz w:val="20"/>
                <w:szCs w:val="20"/>
                <w:lang w:eastAsia="ro-RO"/>
              </w:rPr>
              <w:t>sau in folosinta</w:t>
            </w:r>
            <w:r w:rsidRPr="00066F52">
              <w:rPr>
                <w:rFonts w:ascii="Times New Roman" w:eastAsia="Times New Roman" w:hAnsi="Times New Roman" w:cs="Times New Roman"/>
                <w:color w:val="000000"/>
                <w:sz w:val="20"/>
                <w:szCs w:val="20"/>
                <w:lang w:eastAsia="ro-RO"/>
              </w:rPr>
              <w:t xml:space="preserve"> a acestora de către operatorul de distribuție concesionar, în situaţiile prevǎzute la art. 44 alin. (8) şi la art. 46 alin. </w:t>
            </w:r>
            <w:r w:rsidRPr="00066F52">
              <w:rPr>
                <w:rFonts w:ascii="Times New Roman" w:eastAsia="Times New Roman" w:hAnsi="Times New Roman" w:cs="Times New Roman"/>
                <w:color w:val="FF0000"/>
                <w:sz w:val="20"/>
                <w:szCs w:val="20"/>
                <w:lang w:eastAsia="ro-RO"/>
              </w:rPr>
              <w:t>(2), (2</w:t>
            </w:r>
            <w:r w:rsidRPr="00066F52">
              <w:rPr>
                <w:rFonts w:ascii="Times New Roman" w:eastAsia="Times New Roman" w:hAnsi="Times New Roman" w:cs="Times New Roman"/>
                <w:color w:val="FF0000"/>
                <w:sz w:val="20"/>
                <w:szCs w:val="20"/>
                <w:vertAlign w:val="superscript"/>
                <w:lang w:eastAsia="ro-RO"/>
              </w:rPr>
              <w:t>1</w:t>
            </w:r>
            <w:r w:rsidRPr="00066F52">
              <w:rPr>
                <w:rFonts w:ascii="Times New Roman" w:eastAsia="Times New Roman" w:hAnsi="Times New Roman" w:cs="Times New Roman"/>
                <w:color w:val="FF0000"/>
                <w:sz w:val="20"/>
                <w:szCs w:val="20"/>
                <w:lang w:eastAsia="ro-RO"/>
              </w:rPr>
              <w:t>)</w:t>
            </w:r>
            <w:r w:rsidRPr="00066F52">
              <w:rPr>
                <w:rFonts w:ascii="Times New Roman" w:eastAsia="Times New Roman" w:hAnsi="Times New Roman" w:cs="Times New Roman"/>
                <w:color w:val="000000"/>
                <w:sz w:val="20"/>
                <w:szCs w:val="20"/>
                <w:lang w:eastAsia="ro-RO"/>
              </w:rPr>
              <w:t>,  (2</w:t>
            </w:r>
            <w:r w:rsidRPr="00066F52">
              <w:rPr>
                <w:rFonts w:ascii="Times New Roman" w:eastAsia="Times New Roman" w:hAnsi="Times New Roman" w:cs="Times New Roman"/>
                <w:color w:val="000000"/>
                <w:sz w:val="20"/>
                <w:szCs w:val="20"/>
                <w:vertAlign w:val="superscript"/>
                <w:lang w:eastAsia="ro-RO"/>
              </w:rPr>
              <w:t>2</w:t>
            </w:r>
            <w:r w:rsidRPr="00066F52">
              <w:rPr>
                <w:rFonts w:ascii="Times New Roman" w:eastAsia="Times New Roman" w:hAnsi="Times New Roman" w:cs="Times New Roman"/>
                <w:color w:val="000000"/>
                <w:sz w:val="20"/>
                <w:szCs w:val="20"/>
                <w:lang w:eastAsia="ro-RO"/>
              </w:rPr>
              <w:t>) din Legea energiei electrice și a gazelor naturale nr. 123/2012, cu modificările și completările ulterioare.</w:t>
            </w:r>
          </w:p>
        </w:tc>
        <w:tc>
          <w:tcPr>
            <w:tcW w:w="930" w:type="pct"/>
            <w:tcBorders>
              <w:top w:val="nil"/>
              <w:left w:val="nil"/>
              <w:bottom w:val="single" w:sz="4" w:space="0" w:color="auto"/>
              <w:right w:val="single" w:sz="4" w:space="0" w:color="auto"/>
            </w:tcBorders>
            <w:shd w:val="clear" w:color="auto" w:fill="auto"/>
            <w:hideMark/>
          </w:tcPr>
          <w:p w14:paraId="247CE0AB"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Consideram util a se reglementa exact si pasii care se vor aplica in conditiile aplicarii art. 46 alin ((2</w:t>
            </w:r>
            <w:r w:rsidRPr="00066F52">
              <w:rPr>
                <w:rFonts w:ascii="Times New Roman" w:eastAsia="Times New Roman" w:hAnsi="Times New Roman" w:cs="Times New Roman"/>
                <w:color w:val="000000"/>
                <w:sz w:val="20"/>
                <w:szCs w:val="20"/>
                <w:vertAlign w:val="superscript"/>
                <w:lang w:eastAsia="ro-RO"/>
              </w:rPr>
              <w:t>2</w:t>
            </w:r>
            <w:r w:rsidRPr="00066F52">
              <w:rPr>
                <w:rFonts w:ascii="Times New Roman" w:eastAsia="Times New Roman" w:hAnsi="Times New Roman" w:cs="Times New Roman"/>
                <w:color w:val="000000"/>
                <w:sz w:val="20"/>
                <w:szCs w:val="20"/>
                <w:lang w:eastAsia="ro-RO"/>
              </w:rPr>
              <w:t>)) din Lege nr. 123/2012. Nu consideram util ca operatorii sa dezvolte practici dinstincte sa raspunda neuniform la solicitari sau autoritatea sa nu fie implicata in proces intrucat, dupa cum se stie, aceste situatii, in practica sunt cele mai frecvente si adeseori chiar necesita adesea si investiti suplimentare generate de stari tehnice necorespunzatoare ale capacitatilor. Este necesar ca ANRE sa emita o procedura care sa raspunda celor mai frecvente situatii din practica, textul de lege fiind insuficient pt ca operatorii sa poata actiona corespunzator in aceste ipoteze.</w:t>
            </w:r>
            <w:r w:rsidRPr="00066F52">
              <w:rPr>
                <w:rFonts w:ascii="Times New Roman" w:eastAsia="Times New Roman" w:hAnsi="Times New Roman" w:cs="Times New Roman"/>
                <w:color w:val="000000"/>
                <w:sz w:val="20"/>
                <w:szCs w:val="20"/>
                <w:lang w:eastAsia="ro-RO"/>
              </w:rPr>
              <w:br/>
            </w:r>
            <w:r w:rsidRPr="00066F52">
              <w:rPr>
                <w:rFonts w:ascii="Times New Roman" w:eastAsia="Times New Roman" w:hAnsi="Times New Roman" w:cs="Times New Roman"/>
                <w:color w:val="000000"/>
                <w:sz w:val="20"/>
                <w:szCs w:val="20"/>
                <w:lang w:eastAsia="ro-RO"/>
              </w:rPr>
              <w:lastRenderedPageBreak/>
              <w:t xml:space="preserve">Din acest motiv consideram ca este necesara o modificare structurala  a acestui act normativ pentru a reflecta si aceasta situatie. </w:t>
            </w:r>
          </w:p>
        </w:tc>
        <w:tc>
          <w:tcPr>
            <w:tcW w:w="790" w:type="pct"/>
            <w:tcBorders>
              <w:top w:val="nil"/>
              <w:left w:val="nil"/>
              <w:bottom w:val="single" w:sz="4" w:space="0" w:color="auto"/>
              <w:right w:val="single" w:sz="4" w:space="0" w:color="auto"/>
            </w:tcBorders>
            <w:shd w:val="clear" w:color="auto" w:fill="auto"/>
            <w:hideMark/>
          </w:tcPr>
          <w:p w14:paraId="65C3CA60"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lastRenderedPageBreak/>
              <w:t> </w:t>
            </w:r>
          </w:p>
        </w:tc>
      </w:tr>
      <w:tr w:rsidR="00066F52" w:rsidRPr="00066F52" w14:paraId="21A5BA69" w14:textId="77777777" w:rsidTr="00720795">
        <w:trPr>
          <w:trHeight w:val="1368"/>
        </w:trPr>
        <w:tc>
          <w:tcPr>
            <w:tcW w:w="245" w:type="pct"/>
            <w:tcBorders>
              <w:top w:val="nil"/>
              <w:left w:val="single" w:sz="4" w:space="0" w:color="auto"/>
              <w:bottom w:val="single" w:sz="4" w:space="0" w:color="auto"/>
              <w:right w:val="single" w:sz="4" w:space="0" w:color="auto"/>
            </w:tcBorders>
            <w:shd w:val="clear" w:color="auto" w:fill="auto"/>
            <w:hideMark/>
          </w:tcPr>
          <w:p w14:paraId="27D943C4"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6</w:t>
            </w:r>
          </w:p>
        </w:tc>
        <w:tc>
          <w:tcPr>
            <w:tcW w:w="265" w:type="pct"/>
            <w:tcBorders>
              <w:top w:val="nil"/>
              <w:left w:val="nil"/>
              <w:bottom w:val="single" w:sz="4" w:space="0" w:color="auto"/>
              <w:right w:val="single" w:sz="4" w:space="0" w:color="auto"/>
            </w:tcBorders>
            <w:shd w:val="clear" w:color="auto" w:fill="auto"/>
            <w:hideMark/>
          </w:tcPr>
          <w:p w14:paraId="5509833A"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2</w:t>
            </w:r>
          </w:p>
        </w:tc>
        <w:tc>
          <w:tcPr>
            <w:tcW w:w="939" w:type="pct"/>
            <w:vMerge w:val="restart"/>
            <w:tcBorders>
              <w:top w:val="nil"/>
              <w:left w:val="single" w:sz="4" w:space="0" w:color="auto"/>
              <w:bottom w:val="single" w:sz="4" w:space="0" w:color="auto"/>
              <w:right w:val="single" w:sz="4" w:space="0" w:color="auto"/>
            </w:tcBorders>
            <w:shd w:val="clear" w:color="auto" w:fill="auto"/>
            <w:hideMark/>
          </w:tcPr>
          <w:p w14:paraId="68FC3DC8" w14:textId="77777777" w:rsidR="00066F52" w:rsidRPr="00066F52" w:rsidRDefault="00066F52" w:rsidP="00066F52">
            <w:pPr>
              <w:spacing w:after="0" w:line="240" w:lineRule="auto"/>
              <w:jc w:val="center"/>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xml:space="preserve">(1) </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Prezenta metodologie se aplică în situaţiile prevǎzute la art. 44 alin. (8) şi la art. 46 alin. (2</w:t>
            </w:r>
            <w:r w:rsidRPr="00066F52">
              <w:rPr>
                <w:rFonts w:ascii="Times New Roman" w:eastAsia="Times New Roman" w:hAnsi="Times New Roman" w:cs="Times New Roman"/>
                <w:color w:val="000000"/>
                <w:sz w:val="20"/>
                <w:szCs w:val="20"/>
                <w:vertAlign w:val="superscript"/>
                <w:lang w:eastAsia="ro-RO"/>
              </w:rPr>
              <w:t>2</w:t>
            </w:r>
            <w:r w:rsidRPr="00066F52">
              <w:rPr>
                <w:rFonts w:ascii="Times New Roman" w:eastAsia="Times New Roman" w:hAnsi="Times New Roman" w:cs="Times New Roman"/>
                <w:color w:val="000000"/>
                <w:sz w:val="20"/>
                <w:szCs w:val="20"/>
                <w:lang w:eastAsia="ro-RO"/>
              </w:rPr>
              <w:t xml:space="preserve">) din Legea energiei electrice și a gazelor naturale nr. 123/2012, cu modificările și </w:t>
            </w:r>
            <w:r w:rsidRPr="00066F52">
              <w:rPr>
                <w:rFonts w:ascii="Times New Roman" w:eastAsia="Times New Roman" w:hAnsi="Times New Roman" w:cs="Times New Roman"/>
                <w:color w:val="000000"/>
                <w:sz w:val="20"/>
                <w:szCs w:val="20"/>
                <w:lang w:eastAsia="ro-RO"/>
              </w:rPr>
              <w:lastRenderedPageBreak/>
              <w:t>completările ulterioare, de către:</w:t>
            </w:r>
          </w:p>
        </w:tc>
        <w:tc>
          <w:tcPr>
            <w:tcW w:w="670" w:type="pct"/>
            <w:tcBorders>
              <w:top w:val="nil"/>
              <w:left w:val="nil"/>
              <w:bottom w:val="single" w:sz="4" w:space="0" w:color="auto"/>
              <w:right w:val="single" w:sz="4" w:space="0" w:color="auto"/>
            </w:tcBorders>
            <w:shd w:val="clear" w:color="auto" w:fill="auto"/>
            <w:hideMark/>
          </w:tcPr>
          <w:p w14:paraId="2FDB0935"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lastRenderedPageBreak/>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00FD1125"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xml:space="preserve">Art.2 (1) Prezenta metodologie se aplică în situaţiile prevǎzute </w:t>
            </w:r>
            <w:r w:rsidRPr="00066F52">
              <w:rPr>
                <w:rFonts w:ascii="Times New Roman" w:eastAsia="Times New Roman" w:hAnsi="Times New Roman" w:cs="Times New Roman"/>
                <w:color w:val="FF0000"/>
                <w:sz w:val="20"/>
                <w:szCs w:val="20"/>
                <w:lang w:eastAsia="ro-RO"/>
              </w:rPr>
              <w:t xml:space="preserve">la art. 1 </w:t>
            </w:r>
            <w:r w:rsidRPr="00066F52">
              <w:rPr>
                <w:rFonts w:ascii="Times New Roman" w:eastAsia="Times New Roman" w:hAnsi="Times New Roman" w:cs="Times New Roman"/>
                <w:strike/>
                <w:color w:val="000000"/>
                <w:sz w:val="20"/>
                <w:szCs w:val="20"/>
                <w:lang w:eastAsia="ro-RO"/>
              </w:rPr>
              <w:t>art. 44 alin. (8) şi la art. 46 alin. (2</w:t>
            </w:r>
            <w:r w:rsidRPr="00066F52">
              <w:rPr>
                <w:rFonts w:ascii="Times New Roman" w:eastAsia="Times New Roman" w:hAnsi="Times New Roman" w:cs="Times New Roman"/>
                <w:strike/>
                <w:color w:val="000000"/>
                <w:sz w:val="20"/>
                <w:szCs w:val="20"/>
                <w:vertAlign w:val="superscript"/>
                <w:lang w:eastAsia="ro-RO"/>
              </w:rPr>
              <w:t>2</w:t>
            </w:r>
            <w:r w:rsidRPr="00066F52">
              <w:rPr>
                <w:rFonts w:ascii="Times New Roman" w:eastAsia="Times New Roman" w:hAnsi="Times New Roman" w:cs="Times New Roman"/>
                <w:strike/>
                <w:color w:val="000000"/>
                <w:sz w:val="20"/>
                <w:szCs w:val="20"/>
                <w:lang w:eastAsia="ro-RO"/>
              </w:rPr>
              <w:t>) din Legea energiei electrice și a gazelor naturale nr. 123/2012, cu modificările și completările ulterioare</w:t>
            </w:r>
            <w:r w:rsidRPr="00066F52">
              <w:rPr>
                <w:rFonts w:ascii="Times New Roman" w:eastAsia="Times New Roman" w:hAnsi="Times New Roman" w:cs="Times New Roman"/>
                <w:color w:val="000000"/>
                <w:sz w:val="20"/>
                <w:szCs w:val="20"/>
                <w:lang w:eastAsia="ro-RO"/>
              </w:rPr>
              <w:t>, de către:...</w:t>
            </w:r>
          </w:p>
        </w:tc>
        <w:tc>
          <w:tcPr>
            <w:tcW w:w="930" w:type="pct"/>
            <w:tcBorders>
              <w:top w:val="nil"/>
              <w:left w:val="nil"/>
              <w:bottom w:val="single" w:sz="4" w:space="0" w:color="auto"/>
              <w:right w:val="single" w:sz="4" w:space="0" w:color="auto"/>
            </w:tcBorders>
            <w:shd w:val="clear" w:color="auto" w:fill="auto"/>
            <w:hideMark/>
          </w:tcPr>
          <w:p w14:paraId="07877895"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Pentru corelare cu art. 1 de mai sus</w:t>
            </w:r>
          </w:p>
        </w:tc>
        <w:tc>
          <w:tcPr>
            <w:tcW w:w="790" w:type="pct"/>
            <w:tcBorders>
              <w:top w:val="nil"/>
              <w:left w:val="nil"/>
              <w:bottom w:val="single" w:sz="4" w:space="0" w:color="auto"/>
              <w:right w:val="single" w:sz="4" w:space="0" w:color="auto"/>
            </w:tcBorders>
            <w:shd w:val="clear" w:color="auto" w:fill="auto"/>
            <w:hideMark/>
          </w:tcPr>
          <w:p w14:paraId="7329B22F"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Conform argumentelor prezentate la propunerea de modificare a art. 1</w:t>
            </w:r>
          </w:p>
        </w:tc>
      </w:tr>
      <w:tr w:rsidR="00066F52" w:rsidRPr="00066F52" w14:paraId="714801C3" w14:textId="77777777" w:rsidTr="00720795">
        <w:trPr>
          <w:trHeight w:val="4560"/>
        </w:trPr>
        <w:tc>
          <w:tcPr>
            <w:tcW w:w="245" w:type="pct"/>
            <w:tcBorders>
              <w:top w:val="nil"/>
              <w:left w:val="single" w:sz="4" w:space="0" w:color="auto"/>
              <w:bottom w:val="single" w:sz="4" w:space="0" w:color="auto"/>
              <w:right w:val="single" w:sz="4" w:space="0" w:color="auto"/>
            </w:tcBorders>
            <w:shd w:val="clear" w:color="auto" w:fill="auto"/>
            <w:hideMark/>
          </w:tcPr>
          <w:p w14:paraId="6DED1DA4"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lastRenderedPageBreak/>
              <w:t>7</w:t>
            </w:r>
          </w:p>
        </w:tc>
        <w:tc>
          <w:tcPr>
            <w:tcW w:w="265" w:type="pct"/>
            <w:tcBorders>
              <w:top w:val="nil"/>
              <w:left w:val="nil"/>
              <w:bottom w:val="single" w:sz="4" w:space="0" w:color="auto"/>
              <w:right w:val="single" w:sz="4" w:space="0" w:color="auto"/>
            </w:tcBorders>
            <w:shd w:val="clear" w:color="auto" w:fill="auto"/>
            <w:hideMark/>
          </w:tcPr>
          <w:p w14:paraId="3C971211"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 </w:t>
            </w:r>
          </w:p>
        </w:tc>
        <w:tc>
          <w:tcPr>
            <w:tcW w:w="939" w:type="pct"/>
            <w:vMerge/>
            <w:tcBorders>
              <w:top w:val="nil"/>
              <w:left w:val="single" w:sz="4" w:space="0" w:color="auto"/>
              <w:bottom w:val="single" w:sz="4" w:space="0" w:color="auto"/>
              <w:right w:val="single" w:sz="4" w:space="0" w:color="auto"/>
            </w:tcBorders>
            <w:vAlign w:val="center"/>
            <w:hideMark/>
          </w:tcPr>
          <w:p w14:paraId="0A9CE8D3"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p>
        </w:tc>
        <w:tc>
          <w:tcPr>
            <w:tcW w:w="670" w:type="pct"/>
            <w:tcBorders>
              <w:top w:val="nil"/>
              <w:left w:val="nil"/>
              <w:bottom w:val="single" w:sz="4" w:space="0" w:color="auto"/>
              <w:right w:val="single" w:sz="4" w:space="0" w:color="auto"/>
            </w:tcBorders>
            <w:shd w:val="clear" w:color="auto" w:fill="auto"/>
            <w:hideMark/>
          </w:tcPr>
          <w:p w14:paraId="409CA78A"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e-Distribuție</w:t>
            </w:r>
          </w:p>
        </w:tc>
        <w:tc>
          <w:tcPr>
            <w:tcW w:w="1161" w:type="pct"/>
            <w:tcBorders>
              <w:top w:val="nil"/>
              <w:left w:val="nil"/>
              <w:bottom w:val="single" w:sz="4" w:space="0" w:color="auto"/>
              <w:right w:val="single" w:sz="4" w:space="0" w:color="auto"/>
            </w:tcBorders>
            <w:shd w:val="clear" w:color="auto" w:fill="auto"/>
            <w:hideMark/>
          </w:tcPr>
          <w:p w14:paraId="54D43E83"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Nu se propune reformulare ci se evidențiază aspectele limitative impuse de referința legislativă, respectiv art. 46 alin (2</w:t>
            </w:r>
            <w:r w:rsidRPr="00066F52">
              <w:rPr>
                <w:rFonts w:ascii="Times New Roman" w:eastAsia="Times New Roman" w:hAnsi="Times New Roman" w:cs="Times New Roman"/>
                <w:color w:val="000000"/>
                <w:vertAlign w:val="superscript"/>
                <w:lang w:eastAsia="ro-RO"/>
              </w:rPr>
              <w:t>2</w:t>
            </w:r>
            <w:r w:rsidRPr="00066F52">
              <w:rPr>
                <w:rFonts w:ascii="Times New Roman" w:eastAsia="Times New Roman" w:hAnsi="Times New Roman" w:cs="Times New Roman"/>
                <w:color w:val="000000"/>
                <w:lang w:eastAsia="ro-RO"/>
              </w:rPr>
              <w:t>) și faptul că se are în vedere doar preluarea de capacități energetice de distribuție prin contract de vânzare-cumpărare.</w:t>
            </w:r>
          </w:p>
        </w:tc>
        <w:tc>
          <w:tcPr>
            <w:tcW w:w="930" w:type="pct"/>
            <w:tcBorders>
              <w:top w:val="nil"/>
              <w:left w:val="nil"/>
              <w:bottom w:val="single" w:sz="4" w:space="0" w:color="auto"/>
              <w:right w:val="single" w:sz="4" w:space="0" w:color="auto"/>
            </w:tcBorders>
            <w:shd w:val="clear" w:color="auto" w:fill="auto"/>
            <w:hideMark/>
          </w:tcPr>
          <w:p w14:paraId="6D6EF836" w14:textId="77777777" w:rsidR="00066F52" w:rsidRPr="00066F52" w:rsidRDefault="00066F52" w:rsidP="00066F52">
            <w:pPr>
              <w:spacing w:after="0" w:line="240" w:lineRule="auto"/>
              <w:rPr>
                <w:rFonts w:ascii="Times New Roman" w:eastAsia="Times New Roman" w:hAnsi="Times New Roman" w:cs="Times New Roman"/>
                <w:color w:val="000000"/>
                <w:sz w:val="18"/>
                <w:szCs w:val="18"/>
                <w:lang w:eastAsia="ro-RO"/>
              </w:rPr>
            </w:pPr>
            <w:r w:rsidRPr="00066F52">
              <w:rPr>
                <w:rFonts w:ascii="Times New Roman" w:eastAsia="Times New Roman" w:hAnsi="Times New Roman" w:cs="Times New Roman"/>
                <w:color w:val="000000"/>
                <w:sz w:val="18"/>
                <w:szCs w:val="18"/>
                <w:lang w:eastAsia="ro-RO"/>
              </w:rPr>
              <w:t>Va rugam sa aveti in vedere argumentele de mai sus plus acela ca nu este clar de ce se restrange aplicarea acestei proceduri strict la articolele indicate. Reamintim ca legea 123 este o lege speciala si nu poate elimina toate tipurile de operatiuni de transfer de drepturi prevazute de Codul Civil. De aceea consideram util a se pastra acesta procedura ca o procedura generala ce reflecta in obiectul ei si preluari de folosinta - gratuit sau cu bani- precum si donatii, evident particularizandu-se pentru situatiile ce pot aparea in practica odata cu implementarea modificarilor de la art. 46 din legea 123/2012. Din nou, in practica este bine sa pastram flexibilitatea pentru ce tipuri de operatiuni se pot incheia intre parti, pentru a putea avea la indemana mai multe solutii care sa fie disponibile pentru rezolvarea unor situatii. Nu se poate lasa fara aplicabilitate situatia in care de exemplu un solicitant doreste donarea acestor capacitati – cum au existat cazuri in trecut in practica OD. Din acest motiv consideram ca este necesara o modificare structurala  a acestui act normativ pentru a reflecta si aceasta situatie.</w:t>
            </w:r>
          </w:p>
        </w:tc>
        <w:tc>
          <w:tcPr>
            <w:tcW w:w="790" w:type="pct"/>
            <w:tcBorders>
              <w:top w:val="nil"/>
              <w:left w:val="nil"/>
              <w:bottom w:val="single" w:sz="4" w:space="0" w:color="auto"/>
              <w:right w:val="single" w:sz="4" w:space="0" w:color="auto"/>
            </w:tcBorders>
            <w:shd w:val="clear" w:color="auto" w:fill="auto"/>
            <w:hideMark/>
          </w:tcPr>
          <w:p w14:paraId="55351A8A"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 </w:t>
            </w:r>
          </w:p>
        </w:tc>
      </w:tr>
      <w:tr w:rsidR="00066F52" w:rsidRPr="00066F52" w14:paraId="1A173037" w14:textId="77777777" w:rsidTr="00720795">
        <w:trPr>
          <w:trHeight w:val="1380"/>
        </w:trPr>
        <w:tc>
          <w:tcPr>
            <w:tcW w:w="245" w:type="pct"/>
            <w:tcBorders>
              <w:top w:val="nil"/>
              <w:left w:val="single" w:sz="4" w:space="0" w:color="auto"/>
              <w:bottom w:val="single" w:sz="4" w:space="0" w:color="auto"/>
              <w:right w:val="single" w:sz="4" w:space="0" w:color="auto"/>
            </w:tcBorders>
            <w:shd w:val="clear" w:color="auto" w:fill="auto"/>
            <w:hideMark/>
          </w:tcPr>
          <w:p w14:paraId="727889AD"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8</w:t>
            </w:r>
          </w:p>
        </w:tc>
        <w:tc>
          <w:tcPr>
            <w:tcW w:w="265" w:type="pct"/>
            <w:tcBorders>
              <w:top w:val="nil"/>
              <w:left w:val="nil"/>
              <w:bottom w:val="single" w:sz="4" w:space="0" w:color="auto"/>
              <w:right w:val="single" w:sz="4" w:space="0" w:color="auto"/>
            </w:tcBorders>
            <w:shd w:val="clear" w:color="auto" w:fill="auto"/>
            <w:hideMark/>
          </w:tcPr>
          <w:p w14:paraId="1546AB29"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 </w:t>
            </w:r>
          </w:p>
        </w:tc>
        <w:tc>
          <w:tcPr>
            <w:tcW w:w="939" w:type="pct"/>
            <w:tcBorders>
              <w:top w:val="nil"/>
              <w:left w:val="nil"/>
              <w:bottom w:val="single" w:sz="4" w:space="0" w:color="auto"/>
              <w:right w:val="single" w:sz="4" w:space="0" w:color="auto"/>
            </w:tcBorders>
            <w:shd w:val="clear" w:color="auto" w:fill="auto"/>
            <w:hideMark/>
          </w:tcPr>
          <w:p w14:paraId="5320FA5E"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a)</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persoana fizică/juridică deținătoare în proprietate a capacităților energetice de distribuție a energiei electrice care vinde aceste capacități operatorului de distribuție concesionar;</w:t>
            </w:r>
          </w:p>
        </w:tc>
        <w:tc>
          <w:tcPr>
            <w:tcW w:w="670" w:type="pct"/>
            <w:vMerge w:val="restart"/>
            <w:tcBorders>
              <w:top w:val="nil"/>
              <w:left w:val="single" w:sz="4" w:space="0" w:color="auto"/>
              <w:bottom w:val="single" w:sz="4" w:space="0" w:color="auto"/>
              <w:right w:val="single" w:sz="4" w:space="0" w:color="auto"/>
            </w:tcBorders>
            <w:shd w:val="clear" w:color="auto" w:fill="auto"/>
            <w:hideMark/>
          </w:tcPr>
          <w:p w14:paraId="3331C403"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DEO</w:t>
            </w:r>
          </w:p>
        </w:tc>
        <w:tc>
          <w:tcPr>
            <w:tcW w:w="1161" w:type="pct"/>
            <w:tcBorders>
              <w:top w:val="nil"/>
              <w:left w:val="nil"/>
              <w:bottom w:val="single" w:sz="4" w:space="0" w:color="auto"/>
              <w:right w:val="single" w:sz="4" w:space="0" w:color="auto"/>
            </w:tcBorders>
            <w:shd w:val="clear" w:color="auto" w:fill="auto"/>
            <w:hideMark/>
          </w:tcPr>
          <w:p w14:paraId="17397518"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a)</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lang w:eastAsia="ro-RO"/>
              </w:rPr>
              <w:t>persoana fizică/juridică deținătoare în proprietate a capacităților energetice de distribuție a energiei electrice care vinde/</w:t>
            </w:r>
            <w:r w:rsidRPr="00066F52">
              <w:rPr>
                <w:rFonts w:ascii="Times New Roman" w:eastAsia="Times New Roman" w:hAnsi="Times New Roman" w:cs="Times New Roman"/>
                <w:color w:val="FF0000"/>
                <w:lang w:eastAsia="ro-RO"/>
              </w:rPr>
              <w:t>preda cu titlu gratuit prin donatie sau contract de comodat</w:t>
            </w:r>
            <w:r w:rsidRPr="00066F52">
              <w:rPr>
                <w:rFonts w:ascii="Times New Roman" w:eastAsia="Times New Roman" w:hAnsi="Times New Roman" w:cs="Times New Roman"/>
                <w:color w:val="000000"/>
                <w:lang w:eastAsia="ro-RO"/>
              </w:rPr>
              <w:t xml:space="preserve"> aceste capacități operatorului de distribuție concesionar; </w:t>
            </w:r>
          </w:p>
        </w:tc>
        <w:tc>
          <w:tcPr>
            <w:tcW w:w="930" w:type="pct"/>
            <w:vMerge w:val="restart"/>
            <w:tcBorders>
              <w:top w:val="nil"/>
              <w:left w:val="single" w:sz="4" w:space="0" w:color="auto"/>
              <w:bottom w:val="single" w:sz="4" w:space="0" w:color="auto"/>
              <w:right w:val="single" w:sz="4" w:space="0" w:color="auto"/>
            </w:tcBorders>
            <w:shd w:val="clear" w:color="auto" w:fill="auto"/>
            <w:hideMark/>
          </w:tcPr>
          <w:p w14:paraId="124DD092"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Ord. 31/2013 oferea posibilitatea de transfer al capacitatilor prin donatie sau contract de comodat. Aceasta optiune nu poate fi eliminata, fiind una legala.</w:t>
            </w:r>
          </w:p>
        </w:tc>
        <w:tc>
          <w:tcPr>
            <w:tcW w:w="790" w:type="pct"/>
            <w:vMerge w:val="restart"/>
            <w:tcBorders>
              <w:top w:val="nil"/>
              <w:left w:val="single" w:sz="4" w:space="0" w:color="auto"/>
              <w:bottom w:val="single" w:sz="4" w:space="0" w:color="auto"/>
              <w:right w:val="single" w:sz="4" w:space="0" w:color="auto"/>
            </w:tcBorders>
            <w:shd w:val="clear" w:color="auto" w:fill="auto"/>
            <w:hideMark/>
          </w:tcPr>
          <w:p w14:paraId="4E472304"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 xml:space="preserve">Metodologia nu elimină celelalte modalități de dobândire a unor active. Ea, însă, reglementează preluarea în proprietate a capacităților energetice de distribuție conform </w:t>
            </w:r>
            <w:r w:rsidRPr="00066F52">
              <w:rPr>
                <w:rFonts w:ascii="Times New Roman" w:eastAsia="Times New Roman" w:hAnsi="Times New Roman" w:cs="Times New Roman"/>
                <w:color w:val="000000"/>
                <w:sz w:val="20"/>
                <w:szCs w:val="20"/>
                <w:lang w:eastAsia="ro-RO"/>
              </w:rPr>
              <w:lastRenderedPageBreak/>
              <w:t>prevederilor articolelor din lege menționate.</w:t>
            </w:r>
          </w:p>
        </w:tc>
      </w:tr>
      <w:tr w:rsidR="00066F52" w:rsidRPr="00066F52" w14:paraId="36AA66FE" w14:textId="77777777" w:rsidTr="00720795">
        <w:trPr>
          <w:trHeight w:val="828"/>
        </w:trPr>
        <w:tc>
          <w:tcPr>
            <w:tcW w:w="245" w:type="pct"/>
            <w:tcBorders>
              <w:top w:val="nil"/>
              <w:left w:val="single" w:sz="4" w:space="0" w:color="auto"/>
              <w:bottom w:val="single" w:sz="4" w:space="0" w:color="auto"/>
              <w:right w:val="single" w:sz="4" w:space="0" w:color="auto"/>
            </w:tcBorders>
            <w:shd w:val="clear" w:color="auto" w:fill="auto"/>
            <w:hideMark/>
          </w:tcPr>
          <w:p w14:paraId="06A166B4"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lastRenderedPageBreak/>
              <w:t>9</w:t>
            </w:r>
          </w:p>
        </w:tc>
        <w:tc>
          <w:tcPr>
            <w:tcW w:w="265" w:type="pct"/>
            <w:tcBorders>
              <w:top w:val="nil"/>
              <w:left w:val="nil"/>
              <w:bottom w:val="single" w:sz="4" w:space="0" w:color="auto"/>
              <w:right w:val="single" w:sz="4" w:space="0" w:color="auto"/>
            </w:tcBorders>
            <w:shd w:val="clear" w:color="auto" w:fill="auto"/>
            <w:hideMark/>
          </w:tcPr>
          <w:p w14:paraId="78EDCE1F"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 </w:t>
            </w:r>
          </w:p>
        </w:tc>
        <w:tc>
          <w:tcPr>
            <w:tcW w:w="939" w:type="pct"/>
            <w:tcBorders>
              <w:top w:val="nil"/>
              <w:left w:val="nil"/>
              <w:bottom w:val="single" w:sz="4" w:space="0" w:color="auto"/>
              <w:right w:val="single" w:sz="4" w:space="0" w:color="auto"/>
            </w:tcBorders>
            <w:shd w:val="clear" w:color="auto" w:fill="auto"/>
            <w:hideMark/>
          </w:tcPr>
          <w:p w14:paraId="56096715"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b)</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operatorul de distribuție concesionar care cumpără capacitățile energetice de distribuție a energiei electrice.</w:t>
            </w:r>
          </w:p>
        </w:tc>
        <w:tc>
          <w:tcPr>
            <w:tcW w:w="670" w:type="pct"/>
            <w:vMerge/>
            <w:tcBorders>
              <w:top w:val="nil"/>
              <w:left w:val="single" w:sz="4" w:space="0" w:color="auto"/>
              <w:bottom w:val="single" w:sz="4" w:space="0" w:color="auto"/>
              <w:right w:val="single" w:sz="4" w:space="0" w:color="auto"/>
            </w:tcBorders>
            <w:vAlign w:val="center"/>
            <w:hideMark/>
          </w:tcPr>
          <w:p w14:paraId="41C47927"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p>
        </w:tc>
        <w:tc>
          <w:tcPr>
            <w:tcW w:w="1161" w:type="pct"/>
            <w:tcBorders>
              <w:top w:val="nil"/>
              <w:left w:val="nil"/>
              <w:bottom w:val="single" w:sz="4" w:space="0" w:color="auto"/>
              <w:right w:val="single" w:sz="4" w:space="0" w:color="auto"/>
            </w:tcBorders>
            <w:shd w:val="clear" w:color="auto" w:fill="auto"/>
            <w:hideMark/>
          </w:tcPr>
          <w:p w14:paraId="2968B5EB"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b)</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lang w:eastAsia="ro-RO"/>
              </w:rPr>
              <w:t>operatorul de distribuție concesionar care cumpără/</w:t>
            </w:r>
            <w:r w:rsidRPr="00066F52">
              <w:rPr>
                <w:rFonts w:ascii="Times New Roman" w:eastAsia="Times New Roman" w:hAnsi="Times New Roman" w:cs="Times New Roman"/>
                <w:color w:val="FF0000"/>
                <w:lang w:eastAsia="ro-RO"/>
              </w:rPr>
              <w:t xml:space="preserve"> preia cu titlu gratuit prin donatie sau contract de comodat</w:t>
            </w:r>
            <w:r w:rsidRPr="00066F52">
              <w:rPr>
                <w:rFonts w:ascii="Times New Roman" w:eastAsia="Times New Roman" w:hAnsi="Times New Roman" w:cs="Times New Roman"/>
                <w:color w:val="000000"/>
                <w:lang w:eastAsia="ro-RO"/>
              </w:rPr>
              <w:t xml:space="preserve"> capacitățile energetice de distribuție a energiei electrice.</w:t>
            </w:r>
          </w:p>
        </w:tc>
        <w:tc>
          <w:tcPr>
            <w:tcW w:w="930" w:type="pct"/>
            <w:vMerge/>
            <w:tcBorders>
              <w:top w:val="nil"/>
              <w:left w:val="single" w:sz="4" w:space="0" w:color="auto"/>
              <w:bottom w:val="single" w:sz="4" w:space="0" w:color="auto"/>
              <w:right w:val="single" w:sz="4" w:space="0" w:color="auto"/>
            </w:tcBorders>
            <w:vAlign w:val="center"/>
            <w:hideMark/>
          </w:tcPr>
          <w:p w14:paraId="3117CFAA"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p>
        </w:tc>
        <w:tc>
          <w:tcPr>
            <w:tcW w:w="790" w:type="pct"/>
            <w:vMerge/>
            <w:tcBorders>
              <w:top w:val="nil"/>
              <w:left w:val="single" w:sz="4" w:space="0" w:color="auto"/>
              <w:bottom w:val="single" w:sz="4" w:space="0" w:color="auto"/>
              <w:right w:val="single" w:sz="4" w:space="0" w:color="auto"/>
            </w:tcBorders>
            <w:vAlign w:val="center"/>
            <w:hideMark/>
          </w:tcPr>
          <w:p w14:paraId="798677AF"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r>
      <w:tr w:rsidR="00066F52" w:rsidRPr="00066F52" w14:paraId="1C3F9FB4" w14:textId="77777777" w:rsidTr="00720795">
        <w:trPr>
          <w:trHeight w:val="2904"/>
        </w:trPr>
        <w:tc>
          <w:tcPr>
            <w:tcW w:w="245" w:type="pct"/>
            <w:tcBorders>
              <w:top w:val="nil"/>
              <w:left w:val="single" w:sz="4" w:space="0" w:color="auto"/>
              <w:bottom w:val="single" w:sz="4" w:space="0" w:color="auto"/>
              <w:right w:val="single" w:sz="4" w:space="0" w:color="auto"/>
            </w:tcBorders>
            <w:shd w:val="clear" w:color="auto" w:fill="auto"/>
            <w:hideMark/>
          </w:tcPr>
          <w:p w14:paraId="423DDFD6"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10</w:t>
            </w:r>
          </w:p>
        </w:tc>
        <w:tc>
          <w:tcPr>
            <w:tcW w:w="265" w:type="pct"/>
            <w:vMerge w:val="restart"/>
            <w:tcBorders>
              <w:top w:val="nil"/>
              <w:left w:val="single" w:sz="4" w:space="0" w:color="auto"/>
              <w:bottom w:val="single" w:sz="4" w:space="0" w:color="auto"/>
              <w:right w:val="single" w:sz="4" w:space="0" w:color="auto"/>
            </w:tcBorders>
            <w:shd w:val="clear" w:color="auto" w:fill="auto"/>
            <w:hideMark/>
          </w:tcPr>
          <w:p w14:paraId="5AC0EC1B" w14:textId="77777777" w:rsidR="00066F52" w:rsidRPr="00066F52" w:rsidRDefault="00066F52" w:rsidP="00066F52">
            <w:pPr>
              <w:spacing w:after="0" w:line="240" w:lineRule="auto"/>
              <w:jc w:val="center"/>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2</w:t>
            </w:r>
          </w:p>
        </w:tc>
        <w:tc>
          <w:tcPr>
            <w:tcW w:w="939" w:type="pct"/>
            <w:vMerge w:val="restart"/>
            <w:tcBorders>
              <w:top w:val="nil"/>
              <w:left w:val="single" w:sz="4" w:space="0" w:color="auto"/>
              <w:bottom w:val="single" w:sz="4" w:space="0" w:color="auto"/>
              <w:right w:val="single" w:sz="4" w:space="0" w:color="auto"/>
            </w:tcBorders>
            <w:shd w:val="clear" w:color="auto" w:fill="auto"/>
            <w:hideMark/>
          </w:tcPr>
          <w:p w14:paraId="362EC012"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xml:space="preserve">(2) </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Preluarea de cǎtre operatorul de distribuţie concesionar a capacităților energetice de distribuție realizate în condițiile art. 51 alin. (2) din Legea energiei electrice și a gazelor naturale nr. 123/2012, cu modificările și completările ulterioare, se realizeazǎ conform prevederilor Metodologiei pentru evaluarea condiţiilor de finanţare a investiţiilor pentru electrificarea localităţilor ori pentru extinderea reţelelor de distribuţie a energiei electrice, aprobatǎ de ANRE, ediţia în vigoare.</w:t>
            </w:r>
          </w:p>
        </w:tc>
        <w:tc>
          <w:tcPr>
            <w:tcW w:w="670" w:type="pct"/>
            <w:tcBorders>
              <w:top w:val="nil"/>
              <w:left w:val="nil"/>
              <w:bottom w:val="single" w:sz="4" w:space="0" w:color="auto"/>
              <w:right w:val="single" w:sz="4" w:space="0" w:color="auto"/>
            </w:tcBorders>
            <w:shd w:val="clear" w:color="auto" w:fill="auto"/>
            <w:hideMark/>
          </w:tcPr>
          <w:p w14:paraId="3A8B3A79"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DEO</w:t>
            </w:r>
          </w:p>
        </w:tc>
        <w:tc>
          <w:tcPr>
            <w:tcW w:w="1161" w:type="pct"/>
            <w:tcBorders>
              <w:top w:val="nil"/>
              <w:left w:val="nil"/>
              <w:bottom w:val="single" w:sz="4" w:space="0" w:color="auto"/>
              <w:right w:val="single" w:sz="4" w:space="0" w:color="auto"/>
            </w:tcBorders>
            <w:shd w:val="clear" w:color="auto" w:fill="auto"/>
            <w:hideMark/>
          </w:tcPr>
          <w:p w14:paraId="0A4EF5D3"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Eliminare.</w:t>
            </w:r>
          </w:p>
        </w:tc>
        <w:tc>
          <w:tcPr>
            <w:tcW w:w="930" w:type="pct"/>
            <w:tcBorders>
              <w:top w:val="nil"/>
              <w:left w:val="nil"/>
              <w:bottom w:val="single" w:sz="4" w:space="0" w:color="auto"/>
              <w:right w:val="single" w:sz="4" w:space="0" w:color="auto"/>
            </w:tcBorders>
            <w:shd w:val="clear" w:color="auto" w:fill="auto"/>
            <w:hideMark/>
          </w:tcPr>
          <w:p w14:paraId="1239462B"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Conditiile de cofinantare a investitiilor pentru electrificarea localităţilor ori pentru extinderea reţelelor de distribuţie a energiei electrice sunt reglementate prin Ord. 36/2019 modificat si completat prin Ord 169/2020. Prevederile acestor ordine reglementeaza in clar cota de cofinantare suportata de ambele parti – in cazul preluarii in totalitate a capacitatilor rezultate de catre OD, nu se mai justifica prevederile Ord. 36/2019 si a Ord 169/2020.</w:t>
            </w:r>
          </w:p>
        </w:tc>
        <w:tc>
          <w:tcPr>
            <w:tcW w:w="790" w:type="pct"/>
            <w:tcBorders>
              <w:top w:val="nil"/>
              <w:left w:val="nil"/>
              <w:bottom w:val="single" w:sz="4" w:space="0" w:color="auto"/>
              <w:right w:val="single" w:sz="4" w:space="0" w:color="auto"/>
            </w:tcBorders>
            <w:shd w:val="clear" w:color="auto" w:fill="auto"/>
            <w:hideMark/>
          </w:tcPr>
          <w:p w14:paraId="3A45A109"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Acest alineat elimină eventuala ambiguitate în privința tratamentului preluării de capacități realizate în condițiile art. 51 alin. (2) din Legea 123/2012, care se face conform unei alte reglementări.</w:t>
            </w:r>
          </w:p>
        </w:tc>
      </w:tr>
      <w:tr w:rsidR="00066F52" w:rsidRPr="00066F52" w14:paraId="34F3904F" w14:textId="77777777" w:rsidTr="00720795">
        <w:trPr>
          <w:trHeight w:val="2904"/>
        </w:trPr>
        <w:tc>
          <w:tcPr>
            <w:tcW w:w="245" w:type="pct"/>
            <w:tcBorders>
              <w:top w:val="nil"/>
              <w:left w:val="single" w:sz="4" w:space="0" w:color="auto"/>
              <w:bottom w:val="single" w:sz="4" w:space="0" w:color="auto"/>
              <w:right w:val="single" w:sz="4" w:space="0" w:color="auto"/>
            </w:tcBorders>
            <w:shd w:val="clear" w:color="auto" w:fill="auto"/>
            <w:hideMark/>
          </w:tcPr>
          <w:p w14:paraId="4FDE702A"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11</w:t>
            </w:r>
          </w:p>
        </w:tc>
        <w:tc>
          <w:tcPr>
            <w:tcW w:w="265" w:type="pct"/>
            <w:vMerge/>
            <w:tcBorders>
              <w:top w:val="nil"/>
              <w:left w:val="single" w:sz="4" w:space="0" w:color="auto"/>
              <w:bottom w:val="single" w:sz="4" w:space="0" w:color="auto"/>
              <w:right w:val="single" w:sz="4" w:space="0" w:color="auto"/>
            </w:tcBorders>
            <w:vAlign w:val="center"/>
            <w:hideMark/>
          </w:tcPr>
          <w:p w14:paraId="2381E8CE"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c>
          <w:tcPr>
            <w:tcW w:w="939" w:type="pct"/>
            <w:vMerge/>
            <w:tcBorders>
              <w:top w:val="nil"/>
              <w:left w:val="single" w:sz="4" w:space="0" w:color="auto"/>
              <w:bottom w:val="single" w:sz="4" w:space="0" w:color="auto"/>
              <w:right w:val="single" w:sz="4" w:space="0" w:color="auto"/>
            </w:tcBorders>
            <w:vAlign w:val="center"/>
            <w:hideMark/>
          </w:tcPr>
          <w:p w14:paraId="49CCEFBE"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p>
        </w:tc>
        <w:tc>
          <w:tcPr>
            <w:tcW w:w="670" w:type="pct"/>
            <w:tcBorders>
              <w:top w:val="nil"/>
              <w:left w:val="nil"/>
              <w:bottom w:val="single" w:sz="4" w:space="0" w:color="auto"/>
              <w:right w:val="single" w:sz="4" w:space="0" w:color="auto"/>
            </w:tcBorders>
            <w:shd w:val="clear" w:color="auto" w:fill="auto"/>
            <w:hideMark/>
          </w:tcPr>
          <w:p w14:paraId="56161BBF"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e-Distribuție</w:t>
            </w:r>
          </w:p>
        </w:tc>
        <w:tc>
          <w:tcPr>
            <w:tcW w:w="1161" w:type="pct"/>
            <w:tcBorders>
              <w:top w:val="nil"/>
              <w:left w:val="nil"/>
              <w:bottom w:val="single" w:sz="4" w:space="0" w:color="auto"/>
              <w:right w:val="single" w:sz="4" w:space="0" w:color="auto"/>
            </w:tcBorders>
            <w:shd w:val="clear" w:color="auto" w:fill="auto"/>
            <w:hideMark/>
          </w:tcPr>
          <w:p w14:paraId="2933526B"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Nu se propune reformulare</w:t>
            </w:r>
          </w:p>
        </w:tc>
        <w:tc>
          <w:tcPr>
            <w:tcW w:w="930" w:type="pct"/>
            <w:tcBorders>
              <w:top w:val="nil"/>
              <w:left w:val="nil"/>
              <w:bottom w:val="single" w:sz="4" w:space="0" w:color="auto"/>
              <w:right w:val="single" w:sz="4" w:space="0" w:color="auto"/>
            </w:tcBorders>
            <w:shd w:val="clear" w:color="auto" w:fill="auto"/>
            <w:hideMark/>
          </w:tcPr>
          <w:p w14:paraId="30ED9928"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Nu consideram ca obiectul acestei proceduri, singura practic ce se va mai aplica, sa elimine reglementarea situatiei celei mai frecevente din practica, respectiv preluarea in folosinta a capacitatilor a caror situatie juridica nu este clara din perspectiva proprietatii.</w:t>
            </w:r>
            <w:r w:rsidRPr="00066F52">
              <w:rPr>
                <w:rFonts w:ascii="Times New Roman" w:eastAsia="Times New Roman" w:hAnsi="Times New Roman" w:cs="Times New Roman"/>
                <w:color w:val="000000"/>
                <w:sz w:val="20"/>
                <w:szCs w:val="20"/>
                <w:lang w:eastAsia="ro-RO"/>
              </w:rPr>
              <w:br/>
              <w:t xml:space="preserve">Va rugam sa precizati daca acest articol se refera la partea eficienta a investitiei in cazul extinderilor de retea/electrificarii localitatilor sau la intreaga investitie, respectiv include si partea ineficienta finantata de </w:t>
            </w:r>
            <w:r w:rsidRPr="00066F52">
              <w:rPr>
                <w:rFonts w:ascii="Times New Roman" w:eastAsia="Times New Roman" w:hAnsi="Times New Roman" w:cs="Times New Roman"/>
                <w:color w:val="000000"/>
                <w:sz w:val="20"/>
                <w:szCs w:val="20"/>
                <w:lang w:eastAsia="ro-RO"/>
              </w:rPr>
              <w:lastRenderedPageBreak/>
              <w:t>Autoritatea publica/grupul de utilizatori.</w:t>
            </w:r>
          </w:p>
        </w:tc>
        <w:tc>
          <w:tcPr>
            <w:tcW w:w="790" w:type="pct"/>
            <w:tcBorders>
              <w:top w:val="nil"/>
              <w:left w:val="nil"/>
              <w:bottom w:val="single" w:sz="4" w:space="0" w:color="auto"/>
              <w:right w:val="single" w:sz="4" w:space="0" w:color="auto"/>
            </w:tcBorders>
            <w:shd w:val="clear" w:color="auto" w:fill="auto"/>
            <w:hideMark/>
          </w:tcPr>
          <w:p w14:paraId="2619558C"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b/>
                <w:bCs/>
                <w:color w:val="000000"/>
                <w:sz w:val="20"/>
                <w:szCs w:val="20"/>
                <w:lang w:eastAsia="ro-RO"/>
              </w:rPr>
              <w:lastRenderedPageBreak/>
              <w:t>Răspuns:</w:t>
            </w:r>
            <w:r w:rsidRPr="00066F52">
              <w:rPr>
                <w:rFonts w:ascii="Times New Roman" w:eastAsia="Times New Roman" w:hAnsi="Times New Roman" w:cs="Times New Roman"/>
                <w:color w:val="000000"/>
                <w:sz w:val="20"/>
                <w:szCs w:val="20"/>
                <w:lang w:eastAsia="ro-RO"/>
              </w:rPr>
              <w:br/>
              <w:t>Acest alineat precizează faptul că preluarea capacităților  energetice de distribuție realizate în condițiile art. 51 alin. (2) din Legea energiei electrice și a gazelor naturale nr. 123/2012, cu modificările și completările ulterioare se face conform altei metodologii și acest tip de preluări nu sunt tratate de prezenta metodologie.</w:t>
            </w:r>
          </w:p>
        </w:tc>
      </w:tr>
      <w:tr w:rsidR="00066F52" w:rsidRPr="00066F52" w14:paraId="527FD257" w14:textId="77777777" w:rsidTr="00720795">
        <w:trPr>
          <w:trHeight w:val="2376"/>
        </w:trPr>
        <w:tc>
          <w:tcPr>
            <w:tcW w:w="245" w:type="pct"/>
            <w:tcBorders>
              <w:top w:val="nil"/>
              <w:left w:val="single" w:sz="4" w:space="0" w:color="auto"/>
              <w:bottom w:val="single" w:sz="4" w:space="0" w:color="auto"/>
              <w:right w:val="single" w:sz="4" w:space="0" w:color="auto"/>
            </w:tcBorders>
            <w:shd w:val="clear" w:color="auto" w:fill="auto"/>
            <w:hideMark/>
          </w:tcPr>
          <w:p w14:paraId="7EF4063B"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12</w:t>
            </w:r>
          </w:p>
        </w:tc>
        <w:tc>
          <w:tcPr>
            <w:tcW w:w="265" w:type="pct"/>
            <w:vMerge w:val="restart"/>
            <w:tcBorders>
              <w:top w:val="nil"/>
              <w:left w:val="single" w:sz="4" w:space="0" w:color="auto"/>
              <w:bottom w:val="single" w:sz="4" w:space="0" w:color="auto"/>
              <w:right w:val="single" w:sz="4" w:space="0" w:color="auto"/>
            </w:tcBorders>
            <w:shd w:val="clear" w:color="auto" w:fill="auto"/>
            <w:hideMark/>
          </w:tcPr>
          <w:p w14:paraId="729FF5F9"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2</w:t>
            </w:r>
          </w:p>
        </w:tc>
        <w:tc>
          <w:tcPr>
            <w:tcW w:w="939" w:type="pct"/>
            <w:tcBorders>
              <w:top w:val="nil"/>
              <w:left w:val="nil"/>
              <w:bottom w:val="single" w:sz="4" w:space="0" w:color="auto"/>
              <w:right w:val="single" w:sz="4" w:space="0" w:color="auto"/>
            </w:tcBorders>
            <w:shd w:val="clear" w:color="auto" w:fill="auto"/>
            <w:hideMark/>
          </w:tcPr>
          <w:p w14:paraId="7DAC4B10"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670" w:type="pct"/>
            <w:tcBorders>
              <w:top w:val="nil"/>
              <w:left w:val="nil"/>
              <w:bottom w:val="single" w:sz="4" w:space="0" w:color="auto"/>
              <w:right w:val="single" w:sz="4" w:space="0" w:color="auto"/>
            </w:tcBorders>
            <w:shd w:val="clear" w:color="auto" w:fill="auto"/>
            <w:hideMark/>
          </w:tcPr>
          <w:p w14:paraId="55C89D85"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OMV Petrom</w:t>
            </w:r>
          </w:p>
        </w:tc>
        <w:tc>
          <w:tcPr>
            <w:tcW w:w="1161" w:type="pct"/>
            <w:tcBorders>
              <w:top w:val="nil"/>
              <w:left w:val="nil"/>
              <w:bottom w:val="single" w:sz="4" w:space="0" w:color="auto"/>
              <w:right w:val="single" w:sz="4" w:space="0" w:color="auto"/>
            </w:tcBorders>
            <w:shd w:val="clear" w:color="auto" w:fill="auto"/>
            <w:hideMark/>
          </w:tcPr>
          <w:p w14:paraId="0C4FE923" w14:textId="77777777" w:rsidR="00066F52" w:rsidRPr="00066F52" w:rsidRDefault="00066F52" w:rsidP="00066F52">
            <w:pPr>
              <w:spacing w:after="0" w:line="240" w:lineRule="auto"/>
              <w:rPr>
                <w:rFonts w:ascii="Times New Roman" w:eastAsia="Times New Roman" w:hAnsi="Times New Roman" w:cs="Times New Roman"/>
                <w:color w:val="7030A0"/>
                <w:sz w:val="20"/>
                <w:szCs w:val="20"/>
                <w:lang w:eastAsia="ro-RO"/>
              </w:rPr>
            </w:pPr>
            <w:r w:rsidRPr="00066F52">
              <w:rPr>
                <w:rFonts w:ascii="Times New Roman" w:eastAsia="Times New Roman" w:hAnsi="Times New Roman" w:cs="Times New Roman"/>
                <w:color w:val="7030A0"/>
                <w:sz w:val="20"/>
                <w:szCs w:val="20"/>
                <w:lang w:eastAsia="ro-RO"/>
              </w:rPr>
              <w:t>Propunere alineat nou:</w:t>
            </w:r>
            <w:r w:rsidRPr="00066F52">
              <w:rPr>
                <w:rFonts w:ascii="Times New Roman" w:eastAsia="Times New Roman" w:hAnsi="Times New Roman" w:cs="Times New Roman"/>
                <w:color w:val="7030A0"/>
                <w:sz w:val="20"/>
                <w:szCs w:val="20"/>
                <w:lang w:eastAsia="ro-RO"/>
              </w:rPr>
              <w:br/>
              <w:t>(3) Operatorul de distribuție care, pe lângă activitatea de distribuție desfășoară și o altă activitate care nu estre în domeniul energiei electrice, are dreptul să se adreseze cu o ofertă de transfer de capacități energetice de distribuție care deservesc propriile activități care nu sunt în domeniul energiei electrice persoanei fizice/juridice căreia urmează să-i transfere active care stau la baza desfășurării activităților care nu sunt în domeniul energiei electrice.</w:t>
            </w:r>
          </w:p>
        </w:tc>
        <w:tc>
          <w:tcPr>
            <w:tcW w:w="930" w:type="pct"/>
            <w:tcBorders>
              <w:top w:val="nil"/>
              <w:left w:val="nil"/>
              <w:bottom w:val="single" w:sz="4" w:space="0" w:color="auto"/>
              <w:right w:val="single" w:sz="4" w:space="0" w:color="auto"/>
            </w:tcBorders>
            <w:shd w:val="clear" w:color="auto" w:fill="auto"/>
            <w:hideMark/>
          </w:tcPr>
          <w:p w14:paraId="70AF93D1"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Dreptul unui operator de distribuție a cărei activitate principală nu este în domeniul energiei electrice de a eficientiza transferul de active care nu sunt în domeniul energiei electrice.</w:t>
            </w:r>
          </w:p>
        </w:tc>
        <w:tc>
          <w:tcPr>
            <w:tcW w:w="790" w:type="pct"/>
            <w:tcBorders>
              <w:top w:val="nil"/>
              <w:left w:val="nil"/>
              <w:bottom w:val="single" w:sz="4" w:space="0" w:color="auto"/>
              <w:right w:val="single" w:sz="4" w:space="0" w:color="auto"/>
            </w:tcBorders>
            <w:shd w:val="clear" w:color="auto" w:fill="auto"/>
            <w:hideMark/>
          </w:tcPr>
          <w:p w14:paraId="1AC6AA4B"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Formularea de la alin. (1) lit. a) acoperă și această categorie de operatori. Această propunere nu aduce nimic în plus pentru sfera de aplicare a prevederilor Metodologiei.</w:t>
            </w:r>
          </w:p>
        </w:tc>
      </w:tr>
      <w:tr w:rsidR="00066F52" w:rsidRPr="00066F52" w14:paraId="419A1175" w14:textId="77777777" w:rsidTr="00720795">
        <w:trPr>
          <w:trHeight w:val="2760"/>
        </w:trPr>
        <w:tc>
          <w:tcPr>
            <w:tcW w:w="245" w:type="pct"/>
            <w:tcBorders>
              <w:top w:val="nil"/>
              <w:left w:val="single" w:sz="4" w:space="0" w:color="auto"/>
              <w:bottom w:val="single" w:sz="4" w:space="0" w:color="auto"/>
              <w:right w:val="single" w:sz="4" w:space="0" w:color="auto"/>
            </w:tcBorders>
            <w:shd w:val="clear" w:color="auto" w:fill="auto"/>
            <w:hideMark/>
          </w:tcPr>
          <w:p w14:paraId="0CB53E4F"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13</w:t>
            </w:r>
          </w:p>
        </w:tc>
        <w:tc>
          <w:tcPr>
            <w:tcW w:w="265" w:type="pct"/>
            <w:vMerge/>
            <w:tcBorders>
              <w:top w:val="nil"/>
              <w:left w:val="single" w:sz="4" w:space="0" w:color="auto"/>
              <w:bottom w:val="single" w:sz="4" w:space="0" w:color="auto"/>
              <w:right w:val="single" w:sz="4" w:space="0" w:color="auto"/>
            </w:tcBorders>
            <w:vAlign w:val="center"/>
            <w:hideMark/>
          </w:tcPr>
          <w:p w14:paraId="202402FD"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c>
          <w:tcPr>
            <w:tcW w:w="939" w:type="pct"/>
            <w:tcBorders>
              <w:top w:val="nil"/>
              <w:left w:val="nil"/>
              <w:bottom w:val="single" w:sz="4" w:space="0" w:color="auto"/>
              <w:right w:val="single" w:sz="4" w:space="0" w:color="auto"/>
            </w:tcBorders>
            <w:shd w:val="clear" w:color="auto" w:fill="auto"/>
            <w:hideMark/>
          </w:tcPr>
          <w:p w14:paraId="209376C8"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670" w:type="pct"/>
            <w:tcBorders>
              <w:top w:val="nil"/>
              <w:left w:val="nil"/>
              <w:bottom w:val="single" w:sz="4" w:space="0" w:color="auto"/>
              <w:right w:val="single" w:sz="4" w:space="0" w:color="auto"/>
            </w:tcBorders>
            <w:shd w:val="clear" w:color="auto" w:fill="auto"/>
            <w:hideMark/>
          </w:tcPr>
          <w:p w14:paraId="5440AC73"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DEO</w:t>
            </w:r>
          </w:p>
        </w:tc>
        <w:tc>
          <w:tcPr>
            <w:tcW w:w="1161" w:type="pct"/>
            <w:tcBorders>
              <w:top w:val="nil"/>
              <w:left w:val="nil"/>
              <w:bottom w:val="single" w:sz="4" w:space="0" w:color="auto"/>
              <w:right w:val="single" w:sz="4" w:space="0" w:color="auto"/>
            </w:tcBorders>
            <w:shd w:val="clear" w:color="auto" w:fill="auto"/>
            <w:hideMark/>
          </w:tcPr>
          <w:p w14:paraId="502490CB"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FF0000"/>
                <w:sz w:val="20"/>
                <w:szCs w:val="20"/>
                <w:lang w:eastAsia="ro-RO"/>
              </w:rPr>
              <w:t>Propunere alineat nou:</w:t>
            </w:r>
            <w:r w:rsidRPr="00066F52">
              <w:rPr>
                <w:rFonts w:ascii="Times New Roman" w:eastAsia="Times New Roman" w:hAnsi="Times New Roman" w:cs="Times New Roman"/>
                <w:color w:val="000000"/>
                <w:sz w:val="20"/>
                <w:szCs w:val="20"/>
                <w:lang w:eastAsia="ro-RO"/>
              </w:rPr>
              <w:br/>
              <w:t xml:space="preserve">(3) </w:t>
            </w:r>
            <w:r w:rsidRPr="00066F52">
              <w:rPr>
                <w:rFonts w:ascii="Times New Roman" w:eastAsia="Times New Roman" w:hAnsi="Times New Roman" w:cs="Times New Roman"/>
                <w:color w:val="FF0000"/>
                <w:lang w:eastAsia="ro-RO"/>
              </w:rPr>
              <w:t>Prezenta metodologie nu se aplică pentru capacitățile energetice preluate prin contract de comodat sau orice altă formă reglementata prin Ord. 31/2013, până la data expirării termenului agreat prin aceste contracte.</w:t>
            </w:r>
          </w:p>
        </w:tc>
        <w:tc>
          <w:tcPr>
            <w:tcW w:w="930" w:type="pct"/>
            <w:tcBorders>
              <w:top w:val="nil"/>
              <w:left w:val="nil"/>
              <w:bottom w:val="single" w:sz="4" w:space="0" w:color="auto"/>
              <w:right w:val="single" w:sz="4" w:space="0" w:color="auto"/>
            </w:tcBorders>
            <w:shd w:val="clear" w:color="auto" w:fill="auto"/>
            <w:hideMark/>
          </w:tcPr>
          <w:p w14:paraId="25D38D7F"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Preluările capacităților în cauză au fost realizate conform reglementărilor în vigoare la data preluării.</w:t>
            </w:r>
            <w:r w:rsidRPr="00066F52">
              <w:rPr>
                <w:rFonts w:ascii="Times New Roman" w:eastAsia="Times New Roman" w:hAnsi="Times New Roman" w:cs="Times New Roman"/>
                <w:color w:val="000000"/>
                <w:lang w:eastAsia="ro-RO"/>
              </w:rPr>
              <w:br/>
              <w:t xml:space="preserve">Ulterior OD a asigurat pentru aceste capacități, parametrii optimi reglementați prin Standardul de performanță și a realizat operațiuni de mentenanță pentru remedierea și asigurarea continuității în alimentarea </w:t>
            </w:r>
            <w:r w:rsidRPr="00066F52">
              <w:rPr>
                <w:rFonts w:ascii="Times New Roman" w:eastAsia="Times New Roman" w:hAnsi="Times New Roman" w:cs="Times New Roman"/>
                <w:color w:val="000000"/>
                <w:lang w:eastAsia="ro-RO"/>
              </w:rPr>
              <w:lastRenderedPageBreak/>
              <w:t>cu energie electrică. Contractele reglementate prin Ord 31/2013 au fost încheiate cu acordul părților implicate.</w:t>
            </w:r>
          </w:p>
        </w:tc>
        <w:tc>
          <w:tcPr>
            <w:tcW w:w="790" w:type="pct"/>
            <w:tcBorders>
              <w:top w:val="nil"/>
              <w:left w:val="nil"/>
              <w:bottom w:val="single" w:sz="4" w:space="0" w:color="auto"/>
              <w:right w:val="single" w:sz="4" w:space="0" w:color="auto"/>
            </w:tcBorders>
            <w:shd w:val="clear" w:color="auto" w:fill="auto"/>
            <w:hideMark/>
          </w:tcPr>
          <w:p w14:paraId="3FE7FB22"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b/>
                <w:bCs/>
                <w:color w:val="000000"/>
                <w:sz w:val="20"/>
                <w:szCs w:val="20"/>
                <w:lang w:eastAsia="ro-RO"/>
              </w:rPr>
              <w:lastRenderedPageBreak/>
              <w:t>Nu se acceptă.</w:t>
            </w:r>
            <w:r w:rsidRPr="00066F52">
              <w:rPr>
                <w:rFonts w:ascii="Times New Roman" w:eastAsia="Times New Roman" w:hAnsi="Times New Roman" w:cs="Times New Roman"/>
                <w:color w:val="000000"/>
                <w:sz w:val="20"/>
                <w:szCs w:val="20"/>
                <w:lang w:eastAsia="ro-RO"/>
              </w:rPr>
              <w:br/>
              <w:t>Nu e necesară completarea întrucât Metodologia tratează strict cazurile prevăzute de lege, respectiv preluarea prin vânzare-cumpărare.</w:t>
            </w:r>
          </w:p>
        </w:tc>
      </w:tr>
      <w:tr w:rsidR="00066F52" w:rsidRPr="00066F52" w14:paraId="3C1BCAE6" w14:textId="77777777" w:rsidTr="00720795">
        <w:trPr>
          <w:trHeight w:val="1584"/>
        </w:trPr>
        <w:tc>
          <w:tcPr>
            <w:tcW w:w="245" w:type="pct"/>
            <w:tcBorders>
              <w:top w:val="nil"/>
              <w:left w:val="single" w:sz="4" w:space="0" w:color="auto"/>
              <w:bottom w:val="single" w:sz="4" w:space="0" w:color="auto"/>
              <w:right w:val="single" w:sz="4" w:space="0" w:color="auto"/>
            </w:tcBorders>
            <w:shd w:val="clear" w:color="auto" w:fill="auto"/>
            <w:hideMark/>
          </w:tcPr>
          <w:p w14:paraId="4E9C81A1"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14</w:t>
            </w:r>
          </w:p>
        </w:tc>
        <w:tc>
          <w:tcPr>
            <w:tcW w:w="265" w:type="pct"/>
            <w:tcBorders>
              <w:top w:val="nil"/>
              <w:left w:val="nil"/>
              <w:bottom w:val="single" w:sz="4" w:space="0" w:color="auto"/>
              <w:right w:val="single" w:sz="4" w:space="0" w:color="auto"/>
            </w:tcBorders>
            <w:shd w:val="clear" w:color="auto" w:fill="auto"/>
            <w:hideMark/>
          </w:tcPr>
          <w:p w14:paraId="6525EC4E"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3</w:t>
            </w:r>
          </w:p>
        </w:tc>
        <w:tc>
          <w:tcPr>
            <w:tcW w:w="939" w:type="pct"/>
            <w:tcBorders>
              <w:top w:val="nil"/>
              <w:left w:val="nil"/>
              <w:bottom w:val="single" w:sz="4" w:space="0" w:color="auto"/>
              <w:right w:val="single" w:sz="4" w:space="0" w:color="auto"/>
            </w:tcBorders>
            <w:shd w:val="clear" w:color="auto" w:fill="auto"/>
            <w:hideMark/>
          </w:tcPr>
          <w:p w14:paraId="7AE75EF9"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Termenii și abrevierile utilizate în prezenta metodologie sunt definiţi în Legea energiei electrice şi a gazelor naturale nr. 123/2012, cu modificările şi completările ulterioar următoarele. În înțelesul prezentei proceduri, următorii termeni au următoarele semnificații:</w:t>
            </w:r>
          </w:p>
        </w:tc>
        <w:tc>
          <w:tcPr>
            <w:tcW w:w="670" w:type="pct"/>
            <w:tcBorders>
              <w:top w:val="nil"/>
              <w:left w:val="nil"/>
              <w:bottom w:val="single" w:sz="4" w:space="0" w:color="auto"/>
              <w:right w:val="single" w:sz="4" w:space="0" w:color="auto"/>
            </w:tcBorders>
            <w:shd w:val="clear" w:color="auto" w:fill="auto"/>
            <w:hideMark/>
          </w:tcPr>
          <w:p w14:paraId="19337337"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1161" w:type="pct"/>
            <w:tcBorders>
              <w:top w:val="nil"/>
              <w:left w:val="nil"/>
              <w:bottom w:val="single" w:sz="4" w:space="0" w:color="auto"/>
              <w:right w:val="single" w:sz="4" w:space="0" w:color="auto"/>
            </w:tcBorders>
            <w:shd w:val="clear" w:color="auto" w:fill="auto"/>
            <w:hideMark/>
          </w:tcPr>
          <w:p w14:paraId="65D7C917"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930" w:type="pct"/>
            <w:tcBorders>
              <w:top w:val="nil"/>
              <w:left w:val="nil"/>
              <w:bottom w:val="single" w:sz="4" w:space="0" w:color="auto"/>
              <w:right w:val="single" w:sz="4" w:space="0" w:color="auto"/>
            </w:tcBorders>
            <w:shd w:val="clear" w:color="auto" w:fill="auto"/>
            <w:hideMark/>
          </w:tcPr>
          <w:p w14:paraId="224A5578"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tcBorders>
              <w:top w:val="nil"/>
              <w:left w:val="nil"/>
              <w:bottom w:val="single" w:sz="4" w:space="0" w:color="auto"/>
              <w:right w:val="single" w:sz="4" w:space="0" w:color="auto"/>
            </w:tcBorders>
            <w:shd w:val="clear" w:color="auto" w:fill="auto"/>
            <w:hideMark/>
          </w:tcPr>
          <w:p w14:paraId="18BD9578"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r>
      <w:tr w:rsidR="00066F52" w:rsidRPr="00066F52" w14:paraId="2CF0B711" w14:textId="77777777" w:rsidTr="00720795">
        <w:trPr>
          <w:trHeight w:val="1320"/>
        </w:trPr>
        <w:tc>
          <w:tcPr>
            <w:tcW w:w="245" w:type="pct"/>
            <w:tcBorders>
              <w:top w:val="nil"/>
              <w:left w:val="single" w:sz="4" w:space="0" w:color="auto"/>
              <w:bottom w:val="single" w:sz="4" w:space="0" w:color="auto"/>
              <w:right w:val="single" w:sz="4" w:space="0" w:color="auto"/>
            </w:tcBorders>
            <w:shd w:val="clear" w:color="auto" w:fill="auto"/>
            <w:hideMark/>
          </w:tcPr>
          <w:p w14:paraId="1143BD23"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15</w:t>
            </w:r>
          </w:p>
        </w:tc>
        <w:tc>
          <w:tcPr>
            <w:tcW w:w="265" w:type="pct"/>
            <w:tcBorders>
              <w:top w:val="nil"/>
              <w:left w:val="nil"/>
              <w:bottom w:val="single" w:sz="4" w:space="0" w:color="auto"/>
              <w:right w:val="single" w:sz="4" w:space="0" w:color="auto"/>
            </w:tcBorders>
            <w:shd w:val="clear" w:color="auto" w:fill="auto"/>
            <w:hideMark/>
          </w:tcPr>
          <w:p w14:paraId="6EBBAA8C"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3</w:t>
            </w:r>
          </w:p>
        </w:tc>
        <w:tc>
          <w:tcPr>
            <w:tcW w:w="939" w:type="pct"/>
            <w:tcBorders>
              <w:top w:val="nil"/>
              <w:left w:val="nil"/>
              <w:bottom w:val="single" w:sz="4" w:space="0" w:color="auto"/>
              <w:right w:val="single" w:sz="4" w:space="0" w:color="auto"/>
            </w:tcBorders>
            <w:shd w:val="clear" w:color="auto" w:fill="auto"/>
            <w:hideMark/>
          </w:tcPr>
          <w:p w14:paraId="308ABDF6"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670" w:type="pct"/>
            <w:tcBorders>
              <w:top w:val="nil"/>
              <w:left w:val="nil"/>
              <w:bottom w:val="single" w:sz="4" w:space="0" w:color="auto"/>
              <w:right w:val="single" w:sz="4" w:space="0" w:color="auto"/>
            </w:tcBorders>
            <w:shd w:val="clear" w:color="auto" w:fill="auto"/>
            <w:hideMark/>
          </w:tcPr>
          <w:p w14:paraId="55A65F02"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6A97A4FE"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Propunere de definiții noi:</w:t>
            </w:r>
            <w:r w:rsidRPr="00066F52">
              <w:rPr>
                <w:rFonts w:ascii="Times New Roman" w:eastAsia="Times New Roman" w:hAnsi="Times New Roman" w:cs="Times New Roman"/>
                <w:color w:val="FF0000"/>
                <w:sz w:val="20"/>
                <w:szCs w:val="20"/>
                <w:lang w:eastAsia="ro-RO"/>
              </w:rPr>
              <w:br/>
              <w:t>- expert autorizat independent – persoană fizică sau juridică care desfăşoară activitatea de evaluare în conformitate cu prevederile Ordonanţei nr. 24/2011 privind unele măsuri în domeniul evaluării bunurilor, cu modificările şi completările ulterioare;</w:t>
            </w:r>
          </w:p>
        </w:tc>
        <w:tc>
          <w:tcPr>
            <w:tcW w:w="930" w:type="pct"/>
            <w:tcBorders>
              <w:top w:val="nil"/>
              <w:left w:val="nil"/>
              <w:bottom w:val="single" w:sz="4" w:space="0" w:color="auto"/>
              <w:right w:val="single" w:sz="4" w:space="0" w:color="auto"/>
            </w:tcBorders>
            <w:shd w:val="clear" w:color="auto" w:fill="auto"/>
            <w:hideMark/>
          </w:tcPr>
          <w:p w14:paraId="56A1993C"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tcBorders>
              <w:top w:val="nil"/>
              <w:left w:val="nil"/>
              <w:bottom w:val="single" w:sz="4" w:space="0" w:color="auto"/>
              <w:right w:val="single" w:sz="4" w:space="0" w:color="auto"/>
            </w:tcBorders>
            <w:shd w:val="clear" w:color="auto" w:fill="auto"/>
            <w:hideMark/>
          </w:tcPr>
          <w:p w14:paraId="10808165"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color w:val="000000"/>
                <w:sz w:val="20"/>
                <w:szCs w:val="20"/>
                <w:lang w:eastAsia="ro-RO"/>
              </w:rPr>
              <w:t xml:space="preserve"> </w:t>
            </w:r>
            <w:r w:rsidRPr="00066F52">
              <w:rPr>
                <w:rFonts w:ascii="Times New Roman" w:eastAsia="Times New Roman" w:hAnsi="Times New Roman" w:cs="Times New Roman"/>
                <w:color w:val="000000"/>
                <w:sz w:val="20"/>
                <w:szCs w:val="20"/>
                <w:lang w:eastAsia="ro-RO"/>
              </w:rPr>
              <w:br/>
              <w:t>E posibil ca definiția propusă să restricționeze domeniul</w:t>
            </w:r>
          </w:p>
        </w:tc>
      </w:tr>
      <w:tr w:rsidR="00066F52" w:rsidRPr="00066F52" w14:paraId="3A6967F4" w14:textId="77777777" w:rsidTr="00720795">
        <w:trPr>
          <w:trHeight w:val="1056"/>
        </w:trPr>
        <w:tc>
          <w:tcPr>
            <w:tcW w:w="245" w:type="pct"/>
            <w:tcBorders>
              <w:top w:val="nil"/>
              <w:left w:val="single" w:sz="4" w:space="0" w:color="auto"/>
              <w:bottom w:val="single" w:sz="4" w:space="0" w:color="auto"/>
              <w:right w:val="single" w:sz="4" w:space="0" w:color="auto"/>
            </w:tcBorders>
            <w:shd w:val="clear" w:color="auto" w:fill="auto"/>
            <w:hideMark/>
          </w:tcPr>
          <w:p w14:paraId="29ABC392"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16</w:t>
            </w:r>
          </w:p>
        </w:tc>
        <w:tc>
          <w:tcPr>
            <w:tcW w:w="265" w:type="pct"/>
            <w:tcBorders>
              <w:top w:val="nil"/>
              <w:left w:val="nil"/>
              <w:bottom w:val="single" w:sz="4" w:space="0" w:color="auto"/>
              <w:right w:val="single" w:sz="4" w:space="0" w:color="auto"/>
            </w:tcBorders>
            <w:shd w:val="clear" w:color="auto" w:fill="auto"/>
            <w:hideMark/>
          </w:tcPr>
          <w:p w14:paraId="3D7A7AF3"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3</w:t>
            </w:r>
          </w:p>
        </w:tc>
        <w:tc>
          <w:tcPr>
            <w:tcW w:w="939" w:type="pct"/>
            <w:tcBorders>
              <w:top w:val="nil"/>
              <w:left w:val="nil"/>
              <w:bottom w:val="single" w:sz="4" w:space="0" w:color="auto"/>
              <w:right w:val="single" w:sz="4" w:space="0" w:color="auto"/>
            </w:tcBorders>
            <w:shd w:val="clear" w:color="auto" w:fill="auto"/>
            <w:hideMark/>
          </w:tcPr>
          <w:p w14:paraId="1ECB9DFC"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670" w:type="pct"/>
            <w:tcBorders>
              <w:top w:val="nil"/>
              <w:left w:val="nil"/>
              <w:bottom w:val="single" w:sz="4" w:space="0" w:color="auto"/>
              <w:right w:val="single" w:sz="4" w:space="0" w:color="auto"/>
            </w:tcBorders>
            <w:shd w:val="clear" w:color="auto" w:fill="auto"/>
            <w:hideMark/>
          </w:tcPr>
          <w:p w14:paraId="0478A0FF"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22C4FEF3"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 imposibilitatea asigurării alimentării cu energie electrică a utilizatorilor racordaţi la reţeaua electrică deţinută de prestator din motive neimputabile acestora.</w:t>
            </w:r>
          </w:p>
        </w:tc>
        <w:tc>
          <w:tcPr>
            <w:tcW w:w="930" w:type="pct"/>
            <w:vMerge w:val="restart"/>
            <w:tcBorders>
              <w:top w:val="nil"/>
              <w:left w:val="single" w:sz="4" w:space="0" w:color="auto"/>
              <w:bottom w:val="single" w:sz="4" w:space="0" w:color="auto"/>
              <w:right w:val="single" w:sz="4" w:space="0" w:color="auto"/>
            </w:tcBorders>
            <w:shd w:val="clear" w:color="auto" w:fill="auto"/>
            <w:hideMark/>
          </w:tcPr>
          <w:p w14:paraId="7A757F79"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Intrucat art 46(2</w:t>
            </w:r>
            <w:r w:rsidRPr="00066F52">
              <w:rPr>
                <w:rFonts w:ascii="Times New Roman" w:eastAsia="Times New Roman" w:hAnsi="Times New Roman" w:cs="Times New Roman"/>
                <w:color w:val="000000"/>
                <w:sz w:val="20"/>
                <w:szCs w:val="20"/>
                <w:vertAlign w:val="superscript"/>
                <w:lang w:eastAsia="ro-RO"/>
              </w:rPr>
              <w:t>2</w:t>
            </w:r>
            <w:r w:rsidRPr="00066F52">
              <w:rPr>
                <w:rFonts w:ascii="Times New Roman" w:eastAsia="Times New Roman" w:hAnsi="Times New Roman" w:cs="Times New Roman"/>
                <w:color w:val="000000"/>
                <w:sz w:val="20"/>
                <w:szCs w:val="20"/>
                <w:lang w:eastAsia="ro-RO"/>
              </w:rPr>
              <w:t>) din Lege face referire si la situatia prevazuta la art 46(2) consideram ca este ncesar a fi definita „</w:t>
            </w:r>
            <w:r w:rsidRPr="00066F52">
              <w:rPr>
                <w:rFonts w:ascii="Times New Roman" w:eastAsia="Times New Roman" w:hAnsi="Times New Roman" w:cs="Times New Roman"/>
                <w:i/>
                <w:iCs/>
                <w:color w:val="000000"/>
                <w:sz w:val="20"/>
                <w:szCs w:val="20"/>
                <w:lang w:eastAsia="ro-RO"/>
              </w:rPr>
              <w:t>imposibilitatea de a presta serviciul de distribuţie</w:t>
            </w:r>
            <w:r w:rsidRPr="00066F52">
              <w:rPr>
                <w:rFonts w:ascii="Times New Roman" w:eastAsia="Times New Roman" w:hAnsi="Times New Roman" w:cs="Times New Roman"/>
                <w:color w:val="000000"/>
                <w:sz w:val="20"/>
                <w:szCs w:val="20"/>
                <w:lang w:eastAsia="ro-RO"/>
              </w:rPr>
              <w:t>” si modul in care este aceasta certificata.</w:t>
            </w:r>
          </w:p>
        </w:tc>
        <w:tc>
          <w:tcPr>
            <w:tcW w:w="790" w:type="pct"/>
            <w:vMerge w:val="restart"/>
            <w:tcBorders>
              <w:top w:val="nil"/>
              <w:left w:val="single" w:sz="4" w:space="0" w:color="auto"/>
              <w:bottom w:val="single" w:sz="4" w:space="0" w:color="auto"/>
              <w:right w:val="single" w:sz="4" w:space="0" w:color="auto"/>
            </w:tcBorders>
            <w:shd w:val="clear" w:color="auto" w:fill="auto"/>
            <w:hideMark/>
          </w:tcPr>
          <w:p w14:paraId="08A844F0"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 xml:space="preserve">Nu se acceptă </w:t>
            </w:r>
            <w:r w:rsidRPr="00066F52">
              <w:rPr>
                <w:rFonts w:ascii="Times New Roman" w:eastAsia="Times New Roman" w:hAnsi="Times New Roman" w:cs="Times New Roman"/>
                <w:color w:val="000000"/>
                <w:sz w:val="20"/>
                <w:szCs w:val="20"/>
                <w:lang w:eastAsia="ro-RO"/>
              </w:rPr>
              <w:t xml:space="preserve">propunerea de definire a sintagmelor "imposibilitatea asigurării alimentării cu energie electrică a utilizatorilor racordaţi" și „imposibilitatea de a presta serviciul de distribuție”. O asemenea definire ar restrânge </w:t>
            </w:r>
            <w:r w:rsidRPr="00066F52">
              <w:rPr>
                <w:rFonts w:ascii="Times New Roman" w:eastAsia="Times New Roman" w:hAnsi="Times New Roman" w:cs="Times New Roman"/>
                <w:color w:val="000000"/>
                <w:sz w:val="20"/>
                <w:szCs w:val="20"/>
                <w:lang w:eastAsia="ro-RO"/>
              </w:rPr>
              <w:lastRenderedPageBreak/>
              <w:t>arbitrar sfera de aplicare a prevederilor legii, avute în vedere de metodologie.</w:t>
            </w:r>
            <w:r w:rsidRPr="00066F52">
              <w:rPr>
                <w:rFonts w:ascii="Times New Roman" w:eastAsia="Times New Roman" w:hAnsi="Times New Roman" w:cs="Times New Roman"/>
                <w:b/>
                <w:bCs/>
                <w:color w:val="000000"/>
                <w:sz w:val="20"/>
                <w:szCs w:val="20"/>
                <w:lang w:eastAsia="ro-RO"/>
              </w:rPr>
              <w:t xml:space="preserve"> </w:t>
            </w:r>
            <w:r w:rsidRPr="00066F52">
              <w:rPr>
                <w:rFonts w:ascii="Times New Roman" w:eastAsia="Times New Roman" w:hAnsi="Times New Roman" w:cs="Times New Roman"/>
                <w:color w:val="000000"/>
                <w:sz w:val="20"/>
                <w:szCs w:val="20"/>
                <w:lang w:eastAsia="ro-RO"/>
              </w:rPr>
              <w:t>Impoisibilitatea... poate fi cauzată de incapabilitatea tehnică...</w:t>
            </w:r>
          </w:p>
        </w:tc>
      </w:tr>
      <w:tr w:rsidR="00066F52" w:rsidRPr="00066F52" w14:paraId="26AE4F2D" w14:textId="77777777" w:rsidTr="00720795">
        <w:trPr>
          <w:trHeight w:val="1320"/>
        </w:trPr>
        <w:tc>
          <w:tcPr>
            <w:tcW w:w="245" w:type="pct"/>
            <w:tcBorders>
              <w:top w:val="nil"/>
              <w:left w:val="single" w:sz="4" w:space="0" w:color="auto"/>
              <w:bottom w:val="single" w:sz="4" w:space="0" w:color="auto"/>
              <w:right w:val="single" w:sz="4" w:space="0" w:color="auto"/>
            </w:tcBorders>
            <w:shd w:val="clear" w:color="auto" w:fill="auto"/>
            <w:hideMark/>
          </w:tcPr>
          <w:p w14:paraId="78C5E164"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17</w:t>
            </w:r>
          </w:p>
        </w:tc>
        <w:tc>
          <w:tcPr>
            <w:tcW w:w="265" w:type="pct"/>
            <w:tcBorders>
              <w:top w:val="nil"/>
              <w:left w:val="nil"/>
              <w:bottom w:val="single" w:sz="4" w:space="0" w:color="auto"/>
              <w:right w:val="single" w:sz="4" w:space="0" w:color="auto"/>
            </w:tcBorders>
            <w:shd w:val="clear" w:color="auto" w:fill="auto"/>
            <w:hideMark/>
          </w:tcPr>
          <w:p w14:paraId="5A64ACCB"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3</w:t>
            </w:r>
          </w:p>
        </w:tc>
        <w:tc>
          <w:tcPr>
            <w:tcW w:w="939" w:type="pct"/>
            <w:tcBorders>
              <w:top w:val="nil"/>
              <w:left w:val="nil"/>
              <w:bottom w:val="single" w:sz="4" w:space="0" w:color="auto"/>
              <w:right w:val="single" w:sz="4" w:space="0" w:color="auto"/>
            </w:tcBorders>
            <w:shd w:val="clear" w:color="auto" w:fill="auto"/>
            <w:hideMark/>
          </w:tcPr>
          <w:p w14:paraId="6345BE23"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670" w:type="pct"/>
            <w:tcBorders>
              <w:top w:val="nil"/>
              <w:left w:val="nil"/>
              <w:bottom w:val="single" w:sz="4" w:space="0" w:color="auto"/>
              <w:right w:val="single" w:sz="4" w:space="0" w:color="auto"/>
            </w:tcBorders>
            <w:shd w:val="clear" w:color="auto" w:fill="auto"/>
            <w:hideMark/>
          </w:tcPr>
          <w:p w14:paraId="059C2F1E"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53C842AD"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 xml:space="preserve">  -imposibilitatea de a presta serviciul de distribuţie -  situație certificată de către ANRE și care poate sa apara ca urmare a:</w:t>
            </w:r>
            <w:r w:rsidRPr="00066F52">
              <w:rPr>
                <w:rFonts w:ascii="Times New Roman" w:eastAsia="Times New Roman" w:hAnsi="Times New Roman" w:cs="Times New Roman"/>
                <w:color w:val="FF0000"/>
                <w:sz w:val="20"/>
                <w:szCs w:val="20"/>
                <w:lang w:eastAsia="ro-RO"/>
              </w:rPr>
              <w:br/>
              <w:t xml:space="preserve"> (i) deschiderii procedurii de insolvenţă;</w:t>
            </w:r>
            <w:r w:rsidRPr="00066F52">
              <w:rPr>
                <w:rFonts w:ascii="Times New Roman" w:eastAsia="Times New Roman" w:hAnsi="Times New Roman" w:cs="Times New Roman"/>
                <w:color w:val="FF0000"/>
                <w:sz w:val="20"/>
                <w:szCs w:val="20"/>
                <w:lang w:eastAsia="ro-RO"/>
              </w:rPr>
              <w:br/>
            </w:r>
            <w:r w:rsidRPr="00066F52">
              <w:rPr>
                <w:rFonts w:ascii="Times New Roman" w:eastAsia="Times New Roman" w:hAnsi="Times New Roman" w:cs="Times New Roman"/>
                <w:color w:val="FF0000"/>
                <w:sz w:val="20"/>
                <w:szCs w:val="20"/>
                <w:lang w:eastAsia="ro-RO"/>
              </w:rPr>
              <w:lastRenderedPageBreak/>
              <w:t>(ii) intrării prestatorului serviciului de distribuţie în procedura de faliment;</w:t>
            </w:r>
          </w:p>
        </w:tc>
        <w:tc>
          <w:tcPr>
            <w:tcW w:w="930" w:type="pct"/>
            <w:vMerge/>
            <w:tcBorders>
              <w:top w:val="nil"/>
              <w:left w:val="single" w:sz="4" w:space="0" w:color="auto"/>
              <w:bottom w:val="single" w:sz="4" w:space="0" w:color="auto"/>
              <w:right w:val="single" w:sz="4" w:space="0" w:color="auto"/>
            </w:tcBorders>
            <w:vAlign w:val="center"/>
            <w:hideMark/>
          </w:tcPr>
          <w:p w14:paraId="44B2CA34"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p>
        </w:tc>
        <w:tc>
          <w:tcPr>
            <w:tcW w:w="790" w:type="pct"/>
            <w:vMerge/>
            <w:tcBorders>
              <w:top w:val="nil"/>
              <w:left w:val="single" w:sz="4" w:space="0" w:color="auto"/>
              <w:bottom w:val="single" w:sz="4" w:space="0" w:color="auto"/>
              <w:right w:val="single" w:sz="4" w:space="0" w:color="auto"/>
            </w:tcBorders>
            <w:vAlign w:val="center"/>
            <w:hideMark/>
          </w:tcPr>
          <w:p w14:paraId="1A040130"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r>
      <w:tr w:rsidR="00066F52" w:rsidRPr="00066F52" w14:paraId="61DA4A8B" w14:textId="77777777" w:rsidTr="00720795">
        <w:trPr>
          <w:trHeight w:val="2388"/>
        </w:trPr>
        <w:tc>
          <w:tcPr>
            <w:tcW w:w="245" w:type="pct"/>
            <w:tcBorders>
              <w:top w:val="nil"/>
              <w:left w:val="single" w:sz="4" w:space="0" w:color="auto"/>
              <w:bottom w:val="single" w:sz="4" w:space="0" w:color="auto"/>
              <w:right w:val="single" w:sz="4" w:space="0" w:color="auto"/>
            </w:tcBorders>
            <w:shd w:val="clear" w:color="auto" w:fill="auto"/>
            <w:hideMark/>
          </w:tcPr>
          <w:p w14:paraId="082048CB"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18</w:t>
            </w:r>
          </w:p>
        </w:tc>
        <w:tc>
          <w:tcPr>
            <w:tcW w:w="265" w:type="pct"/>
            <w:tcBorders>
              <w:top w:val="nil"/>
              <w:left w:val="nil"/>
              <w:bottom w:val="single" w:sz="4" w:space="0" w:color="auto"/>
              <w:right w:val="single" w:sz="4" w:space="0" w:color="auto"/>
            </w:tcBorders>
            <w:shd w:val="clear" w:color="auto" w:fill="auto"/>
            <w:hideMark/>
          </w:tcPr>
          <w:p w14:paraId="5995463F"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3</w:t>
            </w:r>
          </w:p>
        </w:tc>
        <w:tc>
          <w:tcPr>
            <w:tcW w:w="939" w:type="pct"/>
            <w:vMerge w:val="restart"/>
            <w:tcBorders>
              <w:top w:val="nil"/>
              <w:left w:val="single" w:sz="4" w:space="0" w:color="auto"/>
              <w:bottom w:val="single" w:sz="4" w:space="0" w:color="auto"/>
              <w:right w:val="single" w:sz="4" w:space="0" w:color="auto"/>
            </w:tcBorders>
            <w:shd w:val="clear" w:color="auto" w:fill="auto"/>
            <w:hideMark/>
          </w:tcPr>
          <w:p w14:paraId="4EB4C90F"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preluare în proprietate de capacități – operațiunea care rezultă din vânzarea de capacități energetice de distribuție de către persoana fizică/juridică deținătoare a acestora,  operatorului de distribuție concesionar în a cărui zonă de concesiune se află capacitățile energetice respective, în condițiile stabilite în contractul de vânzare-cumpărare încheiat între părți;</w:t>
            </w:r>
          </w:p>
        </w:tc>
        <w:tc>
          <w:tcPr>
            <w:tcW w:w="670" w:type="pct"/>
            <w:tcBorders>
              <w:top w:val="nil"/>
              <w:left w:val="nil"/>
              <w:bottom w:val="single" w:sz="4" w:space="0" w:color="auto"/>
              <w:right w:val="single" w:sz="4" w:space="0" w:color="auto"/>
            </w:tcBorders>
            <w:shd w:val="clear" w:color="auto" w:fill="auto"/>
            <w:hideMark/>
          </w:tcPr>
          <w:p w14:paraId="08922D0E"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6AD71513"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xml:space="preserve">- preluare </w:t>
            </w:r>
            <w:r w:rsidRPr="00066F52">
              <w:rPr>
                <w:rFonts w:ascii="Times New Roman" w:eastAsia="Times New Roman" w:hAnsi="Times New Roman" w:cs="Times New Roman"/>
                <w:strike/>
                <w:color w:val="000000"/>
                <w:sz w:val="20"/>
                <w:szCs w:val="20"/>
                <w:lang w:eastAsia="ro-RO"/>
              </w:rPr>
              <w:t>în proprietate</w:t>
            </w:r>
            <w:r w:rsidRPr="00066F52">
              <w:rPr>
                <w:rFonts w:ascii="Times New Roman" w:eastAsia="Times New Roman" w:hAnsi="Times New Roman" w:cs="Times New Roman"/>
                <w:color w:val="000000"/>
                <w:sz w:val="20"/>
                <w:szCs w:val="20"/>
                <w:lang w:eastAsia="ro-RO"/>
              </w:rPr>
              <w:t xml:space="preserve"> de capacități – operațiunea care rezultă din </w:t>
            </w:r>
            <w:r w:rsidRPr="00066F52">
              <w:rPr>
                <w:rFonts w:ascii="Times New Roman" w:eastAsia="Times New Roman" w:hAnsi="Times New Roman" w:cs="Times New Roman"/>
                <w:strike/>
                <w:color w:val="000000"/>
                <w:sz w:val="20"/>
                <w:szCs w:val="20"/>
                <w:lang w:eastAsia="ro-RO"/>
              </w:rPr>
              <w:t>vânzarea</w:t>
            </w:r>
            <w:r w:rsidRPr="00066F52">
              <w:rPr>
                <w:rFonts w:ascii="Times New Roman" w:eastAsia="Times New Roman" w:hAnsi="Times New Roman" w:cs="Times New Roman"/>
                <w:color w:val="000000"/>
                <w:sz w:val="20"/>
                <w:szCs w:val="20"/>
                <w:lang w:eastAsia="ro-RO"/>
              </w:rPr>
              <w:t xml:space="preserve"> </w:t>
            </w:r>
            <w:r w:rsidRPr="00066F52">
              <w:rPr>
                <w:rFonts w:ascii="Times New Roman" w:eastAsia="Times New Roman" w:hAnsi="Times New Roman" w:cs="Times New Roman"/>
                <w:color w:val="FF0000"/>
                <w:sz w:val="20"/>
                <w:szCs w:val="20"/>
                <w:lang w:eastAsia="ro-RO"/>
              </w:rPr>
              <w:t xml:space="preserve">transferul </w:t>
            </w:r>
            <w:r w:rsidRPr="00066F52">
              <w:rPr>
                <w:rFonts w:ascii="Times New Roman" w:eastAsia="Times New Roman" w:hAnsi="Times New Roman" w:cs="Times New Roman"/>
                <w:color w:val="000000"/>
                <w:sz w:val="20"/>
                <w:szCs w:val="20"/>
                <w:lang w:eastAsia="ro-RO"/>
              </w:rPr>
              <w:t xml:space="preserve">de capacități energetice de distribuție </w:t>
            </w:r>
            <w:r w:rsidRPr="00066F52">
              <w:rPr>
                <w:rFonts w:ascii="Times New Roman" w:eastAsia="Times New Roman" w:hAnsi="Times New Roman" w:cs="Times New Roman"/>
                <w:strike/>
                <w:color w:val="000000"/>
                <w:sz w:val="20"/>
                <w:szCs w:val="20"/>
                <w:lang w:eastAsia="ro-RO"/>
              </w:rPr>
              <w:t xml:space="preserve">de către persoana fizică/juridică deținătoare a acestora,  operatorului de distribuție concesionar în a cărui zonă de concesiune se află capacitățile energetice respective, în condițiile stabilite în contractul de vânzare-cumpărare încheiat între părți </w:t>
            </w:r>
            <w:r w:rsidRPr="00066F52">
              <w:rPr>
                <w:rFonts w:ascii="Times New Roman" w:eastAsia="Times New Roman" w:hAnsi="Times New Roman" w:cs="Times New Roman"/>
                <w:color w:val="FF0000"/>
                <w:sz w:val="20"/>
                <w:szCs w:val="20"/>
                <w:lang w:eastAsia="ro-RO"/>
              </w:rPr>
              <w:t>prin contract de vânzare-cumpărare, de închiriere, de donaţie ori de comodat, constând în dobândirea de către operatorul de distribuţie concesionar a capacităţilor energetice de distribuţie cu titlu de proprietate/folosinţă;</w:t>
            </w:r>
          </w:p>
        </w:tc>
        <w:tc>
          <w:tcPr>
            <w:tcW w:w="930" w:type="pct"/>
            <w:tcBorders>
              <w:top w:val="nil"/>
              <w:left w:val="nil"/>
              <w:bottom w:val="single" w:sz="4" w:space="0" w:color="auto"/>
              <w:right w:val="single" w:sz="4" w:space="0" w:color="auto"/>
            </w:tcBorders>
            <w:shd w:val="clear" w:color="auto" w:fill="auto"/>
            <w:hideMark/>
          </w:tcPr>
          <w:p w14:paraId="5850736F"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tcBorders>
              <w:top w:val="nil"/>
              <w:left w:val="nil"/>
              <w:bottom w:val="single" w:sz="4" w:space="0" w:color="auto"/>
              <w:right w:val="single" w:sz="4" w:space="0" w:color="auto"/>
            </w:tcBorders>
            <w:shd w:val="clear" w:color="auto" w:fill="auto"/>
            <w:hideMark/>
          </w:tcPr>
          <w:p w14:paraId="21695B24"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Nu se justifică extinderea domeniului de aplicare a metodologiei dincolo de prevederile din lege avute în vedere.</w:t>
            </w:r>
          </w:p>
        </w:tc>
      </w:tr>
      <w:tr w:rsidR="00066F52" w:rsidRPr="00066F52" w14:paraId="740B48B8" w14:textId="77777777" w:rsidTr="00720795">
        <w:trPr>
          <w:trHeight w:val="1848"/>
        </w:trPr>
        <w:tc>
          <w:tcPr>
            <w:tcW w:w="245" w:type="pct"/>
            <w:tcBorders>
              <w:top w:val="nil"/>
              <w:left w:val="single" w:sz="4" w:space="0" w:color="auto"/>
              <w:bottom w:val="single" w:sz="4" w:space="0" w:color="auto"/>
              <w:right w:val="single" w:sz="4" w:space="0" w:color="auto"/>
            </w:tcBorders>
            <w:shd w:val="clear" w:color="auto" w:fill="auto"/>
            <w:hideMark/>
          </w:tcPr>
          <w:p w14:paraId="0E6AA7DE"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19</w:t>
            </w:r>
          </w:p>
        </w:tc>
        <w:tc>
          <w:tcPr>
            <w:tcW w:w="265" w:type="pct"/>
            <w:tcBorders>
              <w:top w:val="nil"/>
              <w:left w:val="nil"/>
              <w:bottom w:val="single" w:sz="4" w:space="0" w:color="auto"/>
              <w:right w:val="single" w:sz="4" w:space="0" w:color="auto"/>
            </w:tcBorders>
            <w:shd w:val="clear" w:color="auto" w:fill="auto"/>
            <w:hideMark/>
          </w:tcPr>
          <w:p w14:paraId="2CB69C4F"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3</w:t>
            </w:r>
          </w:p>
        </w:tc>
        <w:tc>
          <w:tcPr>
            <w:tcW w:w="939" w:type="pct"/>
            <w:vMerge/>
            <w:tcBorders>
              <w:top w:val="nil"/>
              <w:left w:val="single" w:sz="4" w:space="0" w:color="auto"/>
              <w:bottom w:val="single" w:sz="4" w:space="0" w:color="auto"/>
              <w:right w:val="single" w:sz="4" w:space="0" w:color="auto"/>
            </w:tcBorders>
            <w:vAlign w:val="center"/>
            <w:hideMark/>
          </w:tcPr>
          <w:p w14:paraId="74974010"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p>
        </w:tc>
        <w:tc>
          <w:tcPr>
            <w:tcW w:w="670" w:type="pct"/>
            <w:tcBorders>
              <w:top w:val="nil"/>
              <w:left w:val="nil"/>
              <w:bottom w:val="single" w:sz="4" w:space="0" w:color="auto"/>
              <w:right w:val="single" w:sz="4" w:space="0" w:color="auto"/>
            </w:tcBorders>
            <w:shd w:val="clear" w:color="auto" w:fill="auto"/>
            <w:hideMark/>
          </w:tcPr>
          <w:p w14:paraId="69819CF2"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OMV Petrom</w:t>
            </w:r>
          </w:p>
        </w:tc>
        <w:tc>
          <w:tcPr>
            <w:tcW w:w="1161" w:type="pct"/>
            <w:tcBorders>
              <w:top w:val="nil"/>
              <w:left w:val="nil"/>
              <w:bottom w:val="single" w:sz="4" w:space="0" w:color="auto"/>
              <w:right w:val="single" w:sz="4" w:space="0" w:color="auto"/>
            </w:tcBorders>
            <w:shd w:val="clear" w:color="auto" w:fill="auto"/>
            <w:hideMark/>
          </w:tcPr>
          <w:p w14:paraId="2C6EE8ED"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w:t>
            </w:r>
            <w:r w:rsidRPr="00066F52">
              <w:rPr>
                <w:rFonts w:ascii="Times New Roman" w:eastAsia="Times New Roman" w:hAnsi="Times New Roman" w:cs="Times New Roman"/>
                <w:color w:val="7030A0"/>
                <w:sz w:val="20"/>
                <w:szCs w:val="20"/>
                <w:lang w:eastAsia="ro-RO"/>
              </w:rPr>
              <w:t xml:space="preserve"> </w:t>
            </w:r>
            <w:r w:rsidRPr="00066F52">
              <w:rPr>
                <w:rFonts w:ascii="Times New Roman" w:eastAsia="Times New Roman" w:hAnsi="Times New Roman" w:cs="Times New Roman"/>
                <w:color w:val="000000"/>
                <w:sz w:val="20"/>
                <w:szCs w:val="20"/>
                <w:lang w:eastAsia="ro-RO"/>
              </w:rPr>
              <w:t xml:space="preserve">preluare în proprietate de capacități – operațiunea care rezultă din vânzarea </w:t>
            </w:r>
            <w:r w:rsidRPr="00066F52">
              <w:rPr>
                <w:rFonts w:ascii="Times New Roman" w:eastAsia="Times New Roman" w:hAnsi="Times New Roman" w:cs="Times New Roman"/>
                <w:color w:val="7030A0"/>
                <w:sz w:val="20"/>
                <w:szCs w:val="20"/>
                <w:u w:val="single"/>
                <w:lang w:eastAsia="ro-RO"/>
              </w:rPr>
              <w:t>parțială sau a tuturor capacităților energetice de distribuție</w:t>
            </w:r>
            <w:r w:rsidRPr="00066F52">
              <w:rPr>
                <w:rFonts w:ascii="Times New Roman" w:eastAsia="Times New Roman" w:hAnsi="Times New Roman" w:cs="Times New Roman"/>
                <w:color w:val="7030A0"/>
                <w:sz w:val="20"/>
                <w:szCs w:val="20"/>
                <w:lang w:eastAsia="ro-RO"/>
              </w:rPr>
              <w:t xml:space="preserve"> </w:t>
            </w:r>
            <w:r w:rsidRPr="00066F52">
              <w:rPr>
                <w:rFonts w:ascii="Times New Roman" w:eastAsia="Times New Roman" w:hAnsi="Times New Roman" w:cs="Times New Roman"/>
                <w:color w:val="000000"/>
                <w:sz w:val="20"/>
                <w:szCs w:val="20"/>
                <w:lang w:eastAsia="ro-RO"/>
              </w:rPr>
              <w:t>de către persoana fizică/juridică deținătoare a acestora,  operatorului de distribuție concesionar în a cărui zonă de concesiune se află capacitățile energetice respective, în condițiile stabilite în contractul de vânzare-cumpărare încheiat între părți;</w:t>
            </w:r>
          </w:p>
        </w:tc>
        <w:tc>
          <w:tcPr>
            <w:tcW w:w="930" w:type="pct"/>
            <w:tcBorders>
              <w:top w:val="nil"/>
              <w:left w:val="nil"/>
              <w:bottom w:val="single" w:sz="4" w:space="0" w:color="auto"/>
              <w:right w:val="single" w:sz="4" w:space="0" w:color="auto"/>
            </w:tcBorders>
            <w:shd w:val="clear" w:color="auto" w:fill="auto"/>
            <w:hideMark/>
          </w:tcPr>
          <w:p w14:paraId="35EA8CFD"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tcBorders>
              <w:top w:val="nil"/>
              <w:left w:val="nil"/>
              <w:bottom w:val="single" w:sz="4" w:space="0" w:color="auto"/>
              <w:right w:val="single" w:sz="4" w:space="0" w:color="auto"/>
            </w:tcBorders>
            <w:shd w:val="clear" w:color="auto" w:fill="auto"/>
            <w:hideMark/>
          </w:tcPr>
          <w:p w14:paraId="022F84EE"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Precizarea nu aduce nimic în plus față de propunerea inițială care nu are conotații cantitative.</w:t>
            </w:r>
          </w:p>
        </w:tc>
      </w:tr>
      <w:tr w:rsidR="00066F52" w:rsidRPr="00066F52" w14:paraId="3062158E" w14:textId="77777777" w:rsidTr="00720795">
        <w:trPr>
          <w:trHeight w:val="1848"/>
        </w:trPr>
        <w:tc>
          <w:tcPr>
            <w:tcW w:w="245" w:type="pct"/>
            <w:tcBorders>
              <w:top w:val="nil"/>
              <w:left w:val="single" w:sz="4" w:space="0" w:color="auto"/>
              <w:bottom w:val="single" w:sz="4" w:space="0" w:color="auto"/>
              <w:right w:val="single" w:sz="4" w:space="0" w:color="auto"/>
            </w:tcBorders>
            <w:shd w:val="clear" w:color="auto" w:fill="auto"/>
            <w:hideMark/>
          </w:tcPr>
          <w:p w14:paraId="6FF1A5C4"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20</w:t>
            </w:r>
          </w:p>
        </w:tc>
        <w:tc>
          <w:tcPr>
            <w:tcW w:w="265" w:type="pct"/>
            <w:tcBorders>
              <w:top w:val="nil"/>
              <w:left w:val="nil"/>
              <w:bottom w:val="single" w:sz="4" w:space="0" w:color="auto"/>
              <w:right w:val="single" w:sz="4" w:space="0" w:color="auto"/>
            </w:tcBorders>
            <w:shd w:val="clear" w:color="auto" w:fill="auto"/>
            <w:hideMark/>
          </w:tcPr>
          <w:p w14:paraId="247148C4"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3</w:t>
            </w:r>
          </w:p>
        </w:tc>
        <w:tc>
          <w:tcPr>
            <w:tcW w:w="939" w:type="pct"/>
            <w:vMerge w:val="restart"/>
            <w:tcBorders>
              <w:top w:val="nil"/>
              <w:left w:val="single" w:sz="4" w:space="0" w:color="auto"/>
              <w:bottom w:val="single" w:sz="4" w:space="0" w:color="auto"/>
              <w:right w:val="single" w:sz="4" w:space="0" w:color="auto"/>
            </w:tcBorders>
            <w:shd w:val="clear" w:color="auto" w:fill="auto"/>
            <w:hideMark/>
          </w:tcPr>
          <w:p w14:paraId="290144B9" w14:textId="77777777" w:rsidR="00066F52" w:rsidRPr="00066F52" w:rsidRDefault="00066F52" w:rsidP="00066F52">
            <w:pPr>
              <w:spacing w:after="0" w:line="240" w:lineRule="auto"/>
              <w:jc w:val="center"/>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670" w:type="pct"/>
            <w:tcBorders>
              <w:top w:val="nil"/>
              <w:left w:val="nil"/>
              <w:bottom w:val="single" w:sz="4" w:space="0" w:color="auto"/>
              <w:right w:val="single" w:sz="4" w:space="0" w:color="auto"/>
            </w:tcBorders>
            <w:shd w:val="clear" w:color="auto" w:fill="auto"/>
            <w:hideMark/>
          </w:tcPr>
          <w:p w14:paraId="30B6258E"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56CB82D7"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Propunere definiții noi:</w:t>
            </w:r>
            <w:r w:rsidRPr="00066F52">
              <w:rPr>
                <w:rFonts w:ascii="Times New Roman" w:eastAsia="Times New Roman" w:hAnsi="Times New Roman" w:cs="Times New Roman"/>
                <w:color w:val="FF0000"/>
                <w:sz w:val="20"/>
                <w:szCs w:val="20"/>
                <w:lang w:eastAsia="ro-RO"/>
              </w:rPr>
              <w:br/>
              <w:t xml:space="preserve">- reţea electrică - ansamblul de linii, inclusiv elementele de susţinere şi de protecţie a acestora, staţiile electrice şi alte echipamente electroenergetice conectate între ele prin care se transmite energie electrică de la o capacitate energetică de producere a </w:t>
            </w:r>
            <w:r w:rsidRPr="00066F52">
              <w:rPr>
                <w:rFonts w:ascii="Times New Roman" w:eastAsia="Times New Roman" w:hAnsi="Times New Roman" w:cs="Times New Roman"/>
                <w:color w:val="FF0000"/>
                <w:sz w:val="20"/>
                <w:szCs w:val="20"/>
                <w:lang w:eastAsia="ro-RO"/>
              </w:rPr>
              <w:lastRenderedPageBreak/>
              <w:t>energiei electrice la un utilizator; reţeaua electrică poate fi reţea de transport sau reţea de distribuţie;</w:t>
            </w:r>
          </w:p>
        </w:tc>
        <w:tc>
          <w:tcPr>
            <w:tcW w:w="930" w:type="pct"/>
            <w:vMerge w:val="restart"/>
            <w:tcBorders>
              <w:top w:val="nil"/>
              <w:left w:val="single" w:sz="4" w:space="0" w:color="auto"/>
              <w:bottom w:val="single" w:sz="4" w:space="0" w:color="auto"/>
              <w:right w:val="single" w:sz="4" w:space="0" w:color="auto"/>
            </w:tcBorders>
            <w:shd w:val="clear" w:color="auto" w:fill="auto"/>
            <w:hideMark/>
          </w:tcPr>
          <w:p w14:paraId="58674C2B"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lastRenderedPageBreak/>
              <w:t xml:space="preserve">claritate text, aliniere cu prevederile de la art. 11 și art. 12. De asemenea, întrucât 46 alin. (22) din Lege face referire la rețele electrice consideram ca acestea trebuie definite </w:t>
            </w:r>
          </w:p>
        </w:tc>
        <w:tc>
          <w:tcPr>
            <w:tcW w:w="790" w:type="pct"/>
            <w:vMerge w:val="restart"/>
            <w:tcBorders>
              <w:top w:val="nil"/>
              <w:left w:val="single" w:sz="4" w:space="0" w:color="auto"/>
              <w:bottom w:val="single" w:sz="4" w:space="0" w:color="auto"/>
              <w:right w:val="single" w:sz="4" w:space="0" w:color="auto"/>
            </w:tcBorders>
            <w:shd w:val="clear" w:color="auto" w:fill="auto"/>
            <w:hideMark/>
          </w:tcPr>
          <w:p w14:paraId="0DE1F434"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 xml:space="preserve">Definițiile sunt prevăzute în Legea 123/2012. Propunerile nu aduc modificări față de definițiile existente în lege și nici prevederile Metodologiei propuse nu </w:t>
            </w:r>
            <w:r w:rsidRPr="00066F52">
              <w:rPr>
                <w:rFonts w:ascii="Times New Roman" w:eastAsia="Times New Roman" w:hAnsi="Times New Roman" w:cs="Times New Roman"/>
                <w:color w:val="000000"/>
                <w:sz w:val="20"/>
                <w:szCs w:val="20"/>
                <w:lang w:eastAsia="ro-RO"/>
              </w:rPr>
              <w:lastRenderedPageBreak/>
              <w:t>tratează în alt înțeles noțiunea de rețea electrică, respectiv rețea electrică de distribuție</w:t>
            </w:r>
          </w:p>
        </w:tc>
      </w:tr>
      <w:tr w:rsidR="00066F52" w:rsidRPr="00066F52" w14:paraId="25A89C01" w14:textId="77777777" w:rsidTr="00720795">
        <w:trPr>
          <w:trHeight w:val="1056"/>
        </w:trPr>
        <w:tc>
          <w:tcPr>
            <w:tcW w:w="245" w:type="pct"/>
            <w:tcBorders>
              <w:top w:val="nil"/>
              <w:left w:val="single" w:sz="4" w:space="0" w:color="auto"/>
              <w:bottom w:val="single" w:sz="4" w:space="0" w:color="auto"/>
              <w:right w:val="single" w:sz="4" w:space="0" w:color="auto"/>
            </w:tcBorders>
            <w:shd w:val="clear" w:color="auto" w:fill="auto"/>
            <w:hideMark/>
          </w:tcPr>
          <w:p w14:paraId="3DE1B7EF"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lastRenderedPageBreak/>
              <w:t>21</w:t>
            </w:r>
          </w:p>
        </w:tc>
        <w:tc>
          <w:tcPr>
            <w:tcW w:w="265" w:type="pct"/>
            <w:tcBorders>
              <w:top w:val="nil"/>
              <w:left w:val="nil"/>
              <w:bottom w:val="single" w:sz="4" w:space="0" w:color="auto"/>
              <w:right w:val="single" w:sz="4" w:space="0" w:color="auto"/>
            </w:tcBorders>
            <w:shd w:val="clear" w:color="auto" w:fill="auto"/>
            <w:hideMark/>
          </w:tcPr>
          <w:p w14:paraId="175A3361"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3</w:t>
            </w:r>
          </w:p>
        </w:tc>
        <w:tc>
          <w:tcPr>
            <w:tcW w:w="939" w:type="pct"/>
            <w:vMerge/>
            <w:tcBorders>
              <w:top w:val="nil"/>
              <w:left w:val="single" w:sz="4" w:space="0" w:color="auto"/>
              <w:bottom w:val="single" w:sz="4" w:space="0" w:color="auto"/>
              <w:right w:val="single" w:sz="4" w:space="0" w:color="auto"/>
            </w:tcBorders>
            <w:vAlign w:val="center"/>
            <w:hideMark/>
          </w:tcPr>
          <w:p w14:paraId="7A71C4C3"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p>
        </w:tc>
        <w:tc>
          <w:tcPr>
            <w:tcW w:w="670" w:type="pct"/>
            <w:tcBorders>
              <w:top w:val="nil"/>
              <w:left w:val="nil"/>
              <w:bottom w:val="single" w:sz="4" w:space="0" w:color="auto"/>
              <w:right w:val="single" w:sz="4" w:space="0" w:color="auto"/>
            </w:tcBorders>
            <w:shd w:val="clear" w:color="auto" w:fill="auto"/>
            <w:hideMark/>
          </w:tcPr>
          <w:p w14:paraId="79965357"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17081D08"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 xml:space="preserve">-reţea electrică de distribuţie - reţeaua electrică cu tensiunea de linie nominală până la 110 kV inclusiv prin care se presteaza serviciul de distributie </w:t>
            </w:r>
          </w:p>
        </w:tc>
        <w:tc>
          <w:tcPr>
            <w:tcW w:w="930" w:type="pct"/>
            <w:vMerge/>
            <w:tcBorders>
              <w:top w:val="nil"/>
              <w:left w:val="single" w:sz="4" w:space="0" w:color="auto"/>
              <w:bottom w:val="single" w:sz="4" w:space="0" w:color="auto"/>
              <w:right w:val="single" w:sz="4" w:space="0" w:color="auto"/>
            </w:tcBorders>
            <w:vAlign w:val="center"/>
            <w:hideMark/>
          </w:tcPr>
          <w:p w14:paraId="2D4E6917"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p>
        </w:tc>
        <w:tc>
          <w:tcPr>
            <w:tcW w:w="790" w:type="pct"/>
            <w:vMerge/>
            <w:tcBorders>
              <w:top w:val="nil"/>
              <w:left w:val="single" w:sz="4" w:space="0" w:color="auto"/>
              <w:bottom w:val="single" w:sz="4" w:space="0" w:color="auto"/>
              <w:right w:val="single" w:sz="4" w:space="0" w:color="auto"/>
            </w:tcBorders>
            <w:vAlign w:val="center"/>
            <w:hideMark/>
          </w:tcPr>
          <w:p w14:paraId="34225F23"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r>
      <w:tr w:rsidR="00066F52" w:rsidRPr="00066F52" w14:paraId="38DFCB84" w14:textId="77777777" w:rsidTr="00720795">
        <w:trPr>
          <w:trHeight w:val="2880"/>
        </w:trPr>
        <w:tc>
          <w:tcPr>
            <w:tcW w:w="245" w:type="pct"/>
            <w:tcBorders>
              <w:top w:val="nil"/>
              <w:left w:val="single" w:sz="4" w:space="0" w:color="auto"/>
              <w:bottom w:val="single" w:sz="4" w:space="0" w:color="auto"/>
              <w:right w:val="single" w:sz="4" w:space="0" w:color="auto"/>
            </w:tcBorders>
            <w:shd w:val="clear" w:color="auto" w:fill="auto"/>
            <w:hideMark/>
          </w:tcPr>
          <w:p w14:paraId="5075A77B"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22</w:t>
            </w:r>
          </w:p>
        </w:tc>
        <w:tc>
          <w:tcPr>
            <w:tcW w:w="265" w:type="pct"/>
            <w:tcBorders>
              <w:top w:val="nil"/>
              <w:left w:val="nil"/>
              <w:bottom w:val="single" w:sz="4" w:space="0" w:color="auto"/>
              <w:right w:val="single" w:sz="4" w:space="0" w:color="auto"/>
            </w:tcBorders>
            <w:shd w:val="clear" w:color="auto" w:fill="auto"/>
            <w:hideMark/>
          </w:tcPr>
          <w:p w14:paraId="4CA700B6"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4</w:t>
            </w:r>
          </w:p>
        </w:tc>
        <w:tc>
          <w:tcPr>
            <w:tcW w:w="939" w:type="pct"/>
            <w:tcBorders>
              <w:top w:val="nil"/>
              <w:left w:val="nil"/>
              <w:bottom w:val="single" w:sz="4" w:space="0" w:color="auto"/>
              <w:right w:val="single" w:sz="4" w:space="0" w:color="auto"/>
            </w:tcBorders>
            <w:shd w:val="clear" w:color="auto" w:fill="auto"/>
            <w:hideMark/>
          </w:tcPr>
          <w:p w14:paraId="3DD31697"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(1)</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Transferul de capacități energetice de distribuție conform prezentei metodologii se realizează în condiţiile prevǎzute de Legea energiei electrice și a gazelor naturale nr. 123/2012, cu modificările și completările ulterioare, la iniţiativa persoanei fizice/juridice deținătoare a capacităților energetice de distribuție, care vinde aceste capacități.</w:t>
            </w:r>
          </w:p>
        </w:tc>
        <w:tc>
          <w:tcPr>
            <w:tcW w:w="670" w:type="pct"/>
            <w:tcBorders>
              <w:top w:val="nil"/>
              <w:left w:val="nil"/>
              <w:bottom w:val="single" w:sz="4" w:space="0" w:color="auto"/>
              <w:right w:val="single" w:sz="4" w:space="0" w:color="auto"/>
            </w:tcBorders>
            <w:shd w:val="clear" w:color="auto" w:fill="auto"/>
            <w:hideMark/>
          </w:tcPr>
          <w:p w14:paraId="66167BD7"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0799D0E8"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xml:space="preserve">(1)Transferul de capacități energetice de distribuție conform prezentei metodologii se realizează </w:t>
            </w:r>
            <w:r w:rsidRPr="00066F52">
              <w:rPr>
                <w:rFonts w:ascii="Times New Roman" w:eastAsia="Times New Roman" w:hAnsi="Times New Roman" w:cs="Times New Roman"/>
                <w:color w:val="FF0000"/>
                <w:sz w:val="20"/>
                <w:szCs w:val="20"/>
                <w:lang w:eastAsia="ro-RO"/>
              </w:rPr>
              <w:t>pe baza acordului de voinţă dintre persoana fizică/juridică deţinătoare a capacităţilor energetice de distribuţie care predă/vinde aceste capacităţi şi operatorul de distribuţie concesionar care preia/cumpara aceste capacităţi, din iniţiativa oricăreia dintre părţi.</w:t>
            </w:r>
            <w:r w:rsidRPr="00066F52">
              <w:rPr>
                <w:rFonts w:ascii="Times New Roman" w:eastAsia="Times New Roman" w:hAnsi="Times New Roman" w:cs="Times New Roman"/>
                <w:strike/>
                <w:color w:val="FF0000"/>
                <w:sz w:val="20"/>
                <w:szCs w:val="20"/>
                <w:lang w:eastAsia="ro-RO"/>
              </w:rPr>
              <w:t xml:space="preserve"> </w:t>
            </w:r>
            <w:r w:rsidRPr="00066F52">
              <w:rPr>
                <w:rFonts w:ascii="Times New Roman" w:eastAsia="Times New Roman" w:hAnsi="Times New Roman" w:cs="Times New Roman"/>
                <w:strike/>
                <w:color w:val="000000"/>
                <w:sz w:val="20"/>
                <w:szCs w:val="20"/>
                <w:lang w:eastAsia="ro-RO"/>
              </w:rPr>
              <w:t>în condiţiile prevǎzute de Legea energiei electrice și a gazelor naturale nr. 123/2012, cu modificările și completările ulterioare, la iniţiativa persoanei fizice/juridice deținătoare a capacităților energetice de distribuție, care vinde aceste capacități.</w:t>
            </w:r>
          </w:p>
        </w:tc>
        <w:tc>
          <w:tcPr>
            <w:tcW w:w="930" w:type="pct"/>
            <w:tcBorders>
              <w:top w:val="nil"/>
              <w:left w:val="nil"/>
              <w:bottom w:val="single" w:sz="4" w:space="0" w:color="auto"/>
              <w:right w:val="single" w:sz="4" w:space="0" w:color="auto"/>
            </w:tcBorders>
            <w:shd w:val="clear" w:color="auto" w:fill="auto"/>
            <w:hideMark/>
          </w:tcPr>
          <w:p w14:paraId="32F01A0A" w14:textId="77777777" w:rsidR="00066F52" w:rsidRPr="00066F52" w:rsidRDefault="00066F52" w:rsidP="00066F52">
            <w:pPr>
              <w:spacing w:after="0" w:line="240" w:lineRule="auto"/>
              <w:rPr>
                <w:rFonts w:ascii="Times New Roman" w:eastAsia="Times New Roman" w:hAnsi="Times New Roman" w:cs="Times New Roman"/>
                <w:color w:val="000000"/>
                <w:sz w:val="18"/>
                <w:szCs w:val="18"/>
                <w:lang w:eastAsia="ro-RO"/>
              </w:rPr>
            </w:pPr>
            <w:r w:rsidRPr="00066F52">
              <w:rPr>
                <w:rFonts w:ascii="Times New Roman" w:eastAsia="Times New Roman" w:hAnsi="Times New Roman" w:cs="Times New Roman"/>
                <w:color w:val="000000"/>
                <w:sz w:val="18"/>
                <w:szCs w:val="18"/>
                <w:lang w:eastAsia="ro-RO"/>
              </w:rPr>
              <w:t xml:space="preserve">Justificare: art. 1166 Cod civil „Contractul este acordul de voința dintre doua sau mai multe persoane cu intenția de a constitui, modifica sau stinge un raport juridic”. </w:t>
            </w:r>
            <w:r w:rsidRPr="00066F52">
              <w:rPr>
                <w:rFonts w:ascii="Times New Roman" w:eastAsia="Times New Roman" w:hAnsi="Times New Roman" w:cs="Times New Roman"/>
                <w:color w:val="000000"/>
                <w:sz w:val="18"/>
                <w:szCs w:val="18"/>
                <w:lang w:eastAsia="ro-RO"/>
              </w:rPr>
              <w:br/>
              <w:t>1183 Cod civil „Părțile au libertatea inițierii, desfășurării si ruperii negocierilor si nu pot fi ținute răspunzătoare pentru eșecul acestora” .   1188 (2) Oferta de a contracta  poate proveni de la persoana care are inițiativa încheierii contractului, care îi determina conținutul sau, după împrejurări propune ultimul element esențial al contractului . Consideram avizul ANRE necesar având in vedere necesitatea recunoașterii costurilor care pot sa apară pe parcursul derulării procedurii de transfer instalații.</w:t>
            </w:r>
          </w:p>
        </w:tc>
        <w:tc>
          <w:tcPr>
            <w:tcW w:w="790" w:type="pct"/>
            <w:tcBorders>
              <w:top w:val="nil"/>
              <w:left w:val="nil"/>
              <w:bottom w:val="single" w:sz="4" w:space="0" w:color="auto"/>
              <w:right w:val="single" w:sz="4" w:space="0" w:color="auto"/>
            </w:tcBorders>
            <w:shd w:val="clear" w:color="auto" w:fill="auto"/>
            <w:hideMark/>
          </w:tcPr>
          <w:p w14:paraId="4023CF98"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Transferul, conform prevederilor Metodologiei se face prin contract de vânzare-cumpărare. Metodologia nu prevede alte condiții sau altă accepțiune pentru procesul de vânzare-cumpărare decât cel prevăzut de prevederile legale în vigoare. Prin urmare, precizarea nu este necesară.</w:t>
            </w:r>
          </w:p>
        </w:tc>
      </w:tr>
      <w:tr w:rsidR="00066F52" w:rsidRPr="00066F52" w14:paraId="06FAB7D1" w14:textId="77777777" w:rsidTr="00720795">
        <w:trPr>
          <w:trHeight w:val="1584"/>
        </w:trPr>
        <w:tc>
          <w:tcPr>
            <w:tcW w:w="245" w:type="pct"/>
            <w:tcBorders>
              <w:top w:val="nil"/>
              <w:left w:val="single" w:sz="4" w:space="0" w:color="auto"/>
              <w:bottom w:val="single" w:sz="4" w:space="0" w:color="auto"/>
              <w:right w:val="single" w:sz="4" w:space="0" w:color="auto"/>
            </w:tcBorders>
            <w:shd w:val="clear" w:color="auto" w:fill="auto"/>
            <w:hideMark/>
          </w:tcPr>
          <w:p w14:paraId="7C8F63DC"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23</w:t>
            </w:r>
          </w:p>
        </w:tc>
        <w:tc>
          <w:tcPr>
            <w:tcW w:w="265" w:type="pct"/>
            <w:tcBorders>
              <w:top w:val="nil"/>
              <w:left w:val="nil"/>
              <w:bottom w:val="single" w:sz="4" w:space="0" w:color="auto"/>
              <w:right w:val="single" w:sz="4" w:space="0" w:color="auto"/>
            </w:tcBorders>
            <w:shd w:val="clear" w:color="auto" w:fill="auto"/>
            <w:hideMark/>
          </w:tcPr>
          <w:p w14:paraId="23F6F81E"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4</w:t>
            </w:r>
          </w:p>
        </w:tc>
        <w:tc>
          <w:tcPr>
            <w:tcW w:w="939" w:type="pct"/>
            <w:tcBorders>
              <w:top w:val="nil"/>
              <w:left w:val="nil"/>
              <w:bottom w:val="single" w:sz="4" w:space="0" w:color="auto"/>
              <w:right w:val="single" w:sz="4" w:space="0" w:color="auto"/>
            </w:tcBorders>
            <w:shd w:val="clear" w:color="auto" w:fill="auto"/>
            <w:hideMark/>
          </w:tcPr>
          <w:p w14:paraId="549960DA"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(2)</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 xml:space="preserve">În contractul de vânzare-cumpărare încheiat între persoana fizicǎ/juridicǎ deținătoare a capacităților energetice de distribuție care vinde aceste capacități și operatorul de distribuție concesionar care cumpără </w:t>
            </w:r>
            <w:r w:rsidRPr="00066F52">
              <w:rPr>
                <w:rFonts w:ascii="Times New Roman" w:eastAsia="Times New Roman" w:hAnsi="Times New Roman" w:cs="Times New Roman"/>
                <w:color w:val="000000"/>
                <w:sz w:val="20"/>
                <w:szCs w:val="20"/>
                <w:lang w:eastAsia="ro-RO"/>
              </w:rPr>
              <w:lastRenderedPageBreak/>
              <w:t>aceste capacități, se precizează condițiile de transfer și prețul contractului.</w:t>
            </w:r>
          </w:p>
        </w:tc>
        <w:tc>
          <w:tcPr>
            <w:tcW w:w="670" w:type="pct"/>
            <w:tcBorders>
              <w:top w:val="nil"/>
              <w:left w:val="nil"/>
              <w:bottom w:val="single" w:sz="4" w:space="0" w:color="auto"/>
              <w:right w:val="single" w:sz="4" w:space="0" w:color="auto"/>
            </w:tcBorders>
            <w:shd w:val="clear" w:color="auto" w:fill="auto"/>
            <w:hideMark/>
          </w:tcPr>
          <w:p w14:paraId="1B256FC0"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lastRenderedPageBreak/>
              <w:t>DEO</w:t>
            </w:r>
          </w:p>
        </w:tc>
        <w:tc>
          <w:tcPr>
            <w:tcW w:w="1161" w:type="pct"/>
            <w:tcBorders>
              <w:top w:val="nil"/>
              <w:left w:val="nil"/>
              <w:bottom w:val="single" w:sz="4" w:space="0" w:color="auto"/>
              <w:right w:val="single" w:sz="4" w:space="0" w:color="auto"/>
            </w:tcBorders>
            <w:shd w:val="clear" w:color="auto" w:fill="auto"/>
            <w:hideMark/>
          </w:tcPr>
          <w:p w14:paraId="063CE974"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xml:space="preserve">(2) În contractul de vânzare-cumpărare </w:t>
            </w:r>
            <w:r w:rsidRPr="00066F52">
              <w:rPr>
                <w:rFonts w:ascii="Times New Roman" w:eastAsia="Times New Roman" w:hAnsi="Times New Roman" w:cs="Times New Roman"/>
                <w:color w:val="FF0000"/>
                <w:sz w:val="20"/>
                <w:szCs w:val="20"/>
                <w:lang w:eastAsia="ro-RO"/>
              </w:rPr>
              <w:t>sau de transfer cu titlu gratuit</w:t>
            </w:r>
            <w:r w:rsidRPr="00066F52">
              <w:rPr>
                <w:rFonts w:ascii="Times New Roman" w:eastAsia="Times New Roman" w:hAnsi="Times New Roman" w:cs="Times New Roman"/>
                <w:color w:val="000000"/>
                <w:sz w:val="20"/>
                <w:szCs w:val="20"/>
                <w:lang w:eastAsia="ro-RO"/>
              </w:rPr>
              <w:t xml:space="preserve"> încheiat între persoana fizicǎ/juridicǎ deținătoare a capacităților energetice de distribuție care </w:t>
            </w:r>
            <w:r w:rsidRPr="00066F52">
              <w:rPr>
                <w:rFonts w:ascii="Times New Roman" w:eastAsia="Times New Roman" w:hAnsi="Times New Roman" w:cs="Times New Roman"/>
                <w:color w:val="FF0000"/>
                <w:sz w:val="20"/>
                <w:szCs w:val="20"/>
                <w:lang w:eastAsia="ro-RO"/>
              </w:rPr>
              <w:t>transfera</w:t>
            </w:r>
            <w:r w:rsidRPr="00066F52">
              <w:rPr>
                <w:rFonts w:ascii="Times New Roman" w:eastAsia="Times New Roman" w:hAnsi="Times New Roman" w:cs="Times New Roman"/>
                <w:color w:val="000000"/>
                <w:sz w:val="20"/>
                <w:szCs w:val="20"/>
                <w:lang w:eastAsia="ro-RO"/>
              </w:rPr>
              <w:t xml:space="preserve"> aceste capacități și operatorul de distribuție concesionar care cumpără/</w:t>
            </w:r>
            <w:r w:rsidRPr="00066F52">
              <w:rPr>
                <w:rFonts w:ascii="Times New Roman" w:eastAsia="Times New Roman" w:hAnsi="Times New Roman" w:cs="Times New Roman"/>
                <w:color w:val="FF0000"/>
                <w:sz w:val="20"/>
                <w:szCs w:val="20"/>
                <w:lang w:eastAsia="ro-RO"/>
              </w:rPr>
              <w:t>preia</w:t>
            </w:r>
            <w:r w:rsidRPr="00066F52">
              <w:rPr>
                <w:rFonts w:ascii="Times New Roman" w:eastAsia="Times New Roman" w:hAnsi="Times New Roman" w:cs="Times New Roman"/>
                <w:color w:val="000000"/>
                <w:sz w:val="20"/>
                <w:szCs w:val="20"/>
                <w:lang w:eastAsia="ro-RO"/>
              </w:rPr>
              <w:t xml:space="preserve"> aceste capacități, se precizează condițiile de </w:t>
            </w:r>
            <w:r w:rsidRPr="00066F52">
              <w:rPr>
                <w:rFonts w:ascii="Times New Roman" w:eastAsia="Times New Roman" w:hAnsi="Times New Roman" w:cs="Times New Roman"/>
                <w:color w:val="000000"/>
                <w:sz w:val="20"/>
                <w:szCs w:val="20"/>
                <w:lang w:eastAsia="ro-RO"/>
              </w:rPr>
              <w:lastRenderedPageBreak/>
              <w:t xml:space="preserve">transfer și, </w:t>
            </w:r>
            <w:r w:rsidRPr="00066F52">
              <w:rPr>
                <w:rFonts w:ascii="Times New Roman" w:eastAsia="Times New Roman" w:hAnsi="Times New Roman" w:cs="Times New Roman"/>
                <w:color w:val="FF0000"/>
                <w:sz w:val="20"/>
                <w:szCs w:val="20"/>
                <w:lang w:eastAsia="ro-RO"/>
              </w:rPr>
              <w:t>in cazul vanzarii</w:t>
            </w:r>
            <w:r w:rsidRPr="00066F52">
              <w:rPr>
                <w:rFonts w:ascii="Times New Roman" w:eastAsia="Times New Roman" w:hAnsi="Times New Roman" w:cs="Times New Roman"/>
                <w:color w:val="000000"/>
                <w:sz w:val="20"/>
                <w:szCs w:val="20"/>
                <w:lang w:eastAsia="ro-RO"/>
              </w:rPr>
              <w:t>, prețul contractului.</w:t>
            </w:r>
          </w:p>
        </w:tc>
        <w:tc>
          <w:tcPr>
            <w:tcW w:w="930" w:type="pct"/>
            <w:tcBorders>
              <w:top w:val="nil"/>
              <w:left w:val="nil"/>
              <w:bottom w:val="single" w:sz="4" w:space="0" w:color="auto"/>
              <w:right w:val="single" w:sz="4" w:space="0" w:color="auto"/>
            </w:tcBorders>
            <w:shd w:val="clear" w:color="auto" w:fill="auto"/>
            <w:hideMark/>
          </w:tcPr>
          <w:p w14:paraId="69D4AC4E"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lastRenderedPageBreak/>
              <w:t>Ord. 31/2013 oferea posibilitatea de transfer al capacităților prin donație sau contract de comodat. Aceasta opțiune nu poate fi eliminata, fiind una legala.</w:t>
            </w:r>
          </w:p>
        </w:tc>
        <w:tc>
          <w:tcPr>
            <w:tcW w:w="790" w:type="pct"/>
            <w:tcBorders>
              <w:top w:val="nil"/>
              <w:left w:val="nil"/>
              <w:bottom w:val="single" w:sz="4" w:space="0" w:color="auto"/>
              <w:right w:val="single" w:sz="4" w:space="0" w:color="auto"/>
            </w:tcBorders>
            <w:shd w:val="clear" w:color="auto" w:fill="auto"/>
            <w:hideMark/>
          </w:tcPr>
          <w:p w14:paraId="1EE309C6"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A se vedea motivația de la art. 2</w:t>
            </w:r>
          </w:p>
        </w:tc>
      </w:tr>
      <w:tr w:rsidR="00066F52" w:rsidRPr="00066F52" w14:paraId="1A9DB0BE" w14:textId="77777777" w:rsidTr="00720795">
        <w:trPr>
          <w:trHeight w:val="1848"/>
        </w:trPr>
        <w:tc>
          <w:tcPr>
            <w:tcW w:w="245" w:type="pct"/>
            <w:tcBorders>
              <w:top w:val="nil"/>
              <w:left w:val="single" w:sz="4" w:space="0" w:color="auto"/>
              <w:bottom w:val="single" w:sz="4" w:space="0" w:color="auto"/>
              <w:right w:val="single" w:sz="4" w:space="0" w:color="auto"/>
            </w:tcBorders>
            <w:shd w:val="clear" w:color="auto" w:fill="auto"/>
            <w:hideMark/>
          </w:tcPr>
          <w:p w14:paraId="5B6A79F5"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24</w:t>
            </w:r>
          </w:p>
        </w:tc>
        <w:tc>
          <w:tcPr>
            <w:tcW w:w="265" w:type="pct"/>
            <w:tcBorders>
              <w:top w:val="nil"/>
              <w:left w:val="nil"/>
              <w:bottom w:val="single" w:sz="4" w:space="0" w:color="auto"/>
              <w:right w:val="single" w:sz="4" w:space="0" w:color="auto"/>
            </w:tcBorders>
            <w:shd w:val="clear" w:color="auto" w:fill="auto"/>
            <w:hideMark/>
          </w:tcPr>
          <w:p w14:paraId="1ED58C37"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4</w:t>
            </w:r>
          </w:p>
        </w:tc>
        <w:tc>
          <w:tcPr>
            <w:tcW w:w="939" w:type="pct"/>
            <w:tcBorders>
              <w:top w:val="nil"/>
              <w:left w:val="nil"/>
              <w:bottom w:val="single" w:sz="4" w:space="0" w:color="auto"/>
              <w:right w:val="single" w:sz="4" w:space="0" w:color="auto"/>
            </w:tcBorders>
            <w:shd w:val="clear" w:color="auto" w:fill="auto"/>
            <w:hideMark/>
          </w:tcPr>
          <w:p w14:paraId="0170D627"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670" w:type="pct"/>
            <w:tcBorders>
              <w:top w:val="nil"/>
              <w:left w:val="nil"/>
              <w:bottom w:val="single" w:sz="4" w:space="0" w:color="auto"/>
              <w:right w:val="single" w:sz="4" w:space="0" w:color="auto"/>
            </w:tcBorders>
            <w:shd w:val="clear" w:color="auto" w:fill="auto"/>
            <w:hideMark/>
          </w:tcPr>
          <w:p w14:paraId="60D4442C"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4A483A0E"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Propunere introducere 2 alineate noi:</w:t>
            </w:r>
            <w:r w:rsidRPr="00066F52">
              <w:rPr>
                <w:rFonts w:ascii="Times New Roman" w:eastAsia="Times New Roman" w:hAnsi="Times New Roman" w:cs="Times New Roman"/>
                <w:color w:val="FF0000"/>
                <w:sz w:val="20"/>
                <w:szCs w:val="20"/>
                <w:lang w:eastAsia="ro-RO"/>
              </w:rPr>
              <w:br/>
              <w:t>(3)</w:t>
            </w:r>
            <w:r w:rsidRPr="00066F52">
              <w:rPr>
                <w:rFonts w:ascii="Times New Roman" w:eastAsia="Times New Roman" w:hAnsi="Times New Roman" w:cs="Times New Roman"/>
                <w:color w:val="FF0000"/>
                <w:sz w:val="14"/>
                <w:szCs w:val="14"/>
                <w:lang w:eastAsia="ro-RO"/>
              </w:rPr>
              <w:t xml:space="preserve">    </w:t>
            </w:r>
            <w:r w:rsidRPr="00066F52">
              <w:rPr>
                <w:rFonts w:ascii="Times New Roman" w:eastAsia="Times New Roman" w:hAnsi="Times New Roman" w:cs="Times New Roman"/>
                <w:color w:val="FF0000"/>
                <w:sz w:val="20"/>
                <w:szCs w:val="20"/>
                <w:lang w:eastAsia="ro-RO"/>
              </w:rPr>
              <w:t>Transferul se realizează cu avizul ANRE conform procedurii descrise la art. 8. Costurile adiționale ale OD în perioada preluării instalațiilor trebuie recunoscute în tarife ca și costuri necontrolabile.</w:t>
            </w:r>
          </w:p>
        </w:tc>
        <w:tc>
          <w:tcPr>
            <w:tcW w:w="930" w:type="pct"/>
            <w:tcBorders>
              <w:top w:val="nil"/>
              <w:left w:val="nil"/>
              <w:bottom w:val="single" w:sz="4" w:space="0" w:color="auto"/>
              <w:right w:val="single" w:sz="4" w:space="0" w:color="auto"/>
            </w:tcBorders>
            <w:shd w:val="clear" w:color="auto" w:fill="auto"/>
            <w:hideMark/>
          </w:tcPr>
          <w:p w14:paraId="4FE809DF"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790" w:type="pct"/>
            <w:tcBorders>
              <w:top w:val="nil"/>
              <w:left w:val="nil"/>
              <w:bottom w:val="single" w:sz="4" w:space="0" w:color="auto"/>
              <w:right w:val="single" w:sz="4" w:space="0" w:color="auto"/>
            </w:tcBorders>
            <w:shd w:val="clear" w:color="auto" w:fill="auto"/>
            <w:hideMark/>
          </w:tcPr>
          <w:p w14:paraId="13CF813D"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Modificarea adusă Legii 123/2012 prin</w:t>
            </w:r>
            <w:r w:rsidRPr="00066F52">
              <w:rPr>
                <w:rFonts w:ascii="Times New Roman" w:eastAsia="Times New Roman" w:hAnsi="Times New Roman" w:cs="Times New Roman"/>
                <w:b/>
                <w:bCs/>
                <w:color w:val="000000"/>
                <w:sz w:val="20"/>
                <w:szCs w:val="20"/>
                <w:lang w:eastAsia="ro-RO"/>
              </w:rPr>
              <w:t xml:space="preserve"> </w:t>
            </w:r>
            <w:r w:rsidRPr="00066F52">
              <w:rPr>
                <w:rFonts w:ascii="Times New Roman" w:eastAsia="Times New Roman" w:hAnsi="Times New Roman" w:cs="Times New Roman"/>
                <w:color w:val="000000"/>
                <w:sz w:val="20"/>
                <w:szCs w:val="20"/>
                <w:lang w:eastAsia="ro-RO"/>
              </w:rPr>
              <w:t>Legea 155/2020 aduce ca noutate tocmai eliminarea avizului ANRE în procesul de preluare de capacități energetice.</w:t>
            </w:r>
            <w:r w:rsidRPr="00066F52">
              <w:rPr>
                <w:rFonts w:ascii="Times New Roman" w:eastAsia="Times New Roman" w:hAnsi="Times New Roman" w:cs="Times New Roman"/>
                <w:b/>
                <w:bCs/>
                <w:color w:val="000000"/>
                <w:sz w:val="20"/>
                <w:szCs w:val="20"/>
                <w:lang w:eastAsia="ro-RO"/>
              </w:rPr>
              <w:t xml:space="preserve"> </w:t>
            </w:r>
            <w:r w:rsidRPr="00066F52">
              <w:rPr>
                <w:rFonts w:ascii="Times New Roman" w:eastAsia="Times New Roman" w:hAnsi="Times New Roman" w:cs="Times New Roman"/>
                <w:color w:val="000000"/>
                <w:sz w:val="20"/>
                <w:szCs w:val="20"/>
                <w:lang w:eastAsia="ro-RO"/>
              </w:rPr>
              <w:t>Costurile adiționale de achiziție sunt costuri justificate, respectiv recunoscute în costul de achiziție al activelor</w:t>
            </w:r>
            <w:r w:rsidRPr="00066F52">
              <w:rPr>
                <w:rFonts w:ascii="Times New Roman" w:eastAsia="Times New Roman" w:hAnsi="Times New Roman" w:cs="Times New Roman"/>
                <w:b/>
                <w:bCs/>
                <w:color w:val="000000"/>
                <w:sz w:val="20"/>
                <w:szCs w:val="20"/>
                <w:lang w:eastAsia="ro-RO"/>
              </w:rPr>
              <w:t>.</w:t>
            </w:r>
          </w:p>
        </w:tc>
      </w:tr>
      <w:tr w:rsidR="00066F52" w:rsidRPr="00066F52" w14:paraId="55BB89A7" w14:textId="77777777" w:rsidTr="00720795">
        <w:trPr>
          <w:trHeight w:val="1848"/>
        </w:trPr>
        <w:tc>
          <w:tcPr>
            <w:tcW w:w="245" w:type="pct"/>
            <w:tcBorders>
              <w:top w:val="nil"/>
              <w:left w:val="single" w:sz="4" w:space="0" w:color="auto"/>
              <w:bottom w:val="single" w:sz="4" w:space="0" w:color="auto"/>
              <w:right w:val="single" w:sz="4" w:space="0" w:color="auto"/>
            </w:tcBorders>
            <w:shd w:val="clear" w:color="auto" w:fill="auto"/>
            <w:hideMark/>
          </w:tcPr>
          <w:p w14:paraId="2E92299D"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25</w:t>
            </w:r>
          </w:p>
        </w:tc>
        <w:tc>
          <w:tcPr>
            <w:tcW w:w="265" w:type="pct"/>
            <w:tcBorders>
              <w:top w:val="nil"/>
              <w:left w:val="nil"/>
              <w:bottom w:val="single" w:sz="4" w:space="0" w:color="auto"/>
              <w:right w:val="single" w:sz="4" w:space="0" w:color="auto"/>
            </w:tcBorders>
            <w:shd w:val="clear" w:color="auto" w:fill="auto"/>
            <w:hideMark/>
          </w:tcPr>
          <w:p w14:paraId="3853358A"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4</w:t>
            </w:r>
          </w:p>
        </w:tc>
        <w:tc>
          <w:tcPr>
            <w:tcW w:w="939" w:type="pct"/>
            <w:tcBorders>
              <w:top w:val="nil"/>
              <w:left w:val="nil"/>
              <w:bottom w:val="single" w:sz="4" w:space="0" w:color="auto"/>
              <w:right w:val="single" w:sz="4" w:space="0" w:color="auto"/>
            </w:tcBorders>
            <w:shd w:val="clear" w:color="auto" w:fill="auto"/>
            <w:hideMark/>
          </w:tcPr>
          <w:p w14:paraId="6B39D03D"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670" w:type="pct"/>
            <w:tcBorders>
              <w:top w:val="nil"/>
              <w:left w:val="nil"/>
              <w:bottom w:val="single" w:sz="4" w:space="0" w:color="auto"/>
              <w:right w:val="single" w:sz="4" w:space="0" w:color="auto"/>
            </w:tcBorders>
            <w:shd w:val="clear" w:color="auto" w:fill="auto"/>
            <w:hideMark/>
          </w:tcPr>
          <w:p w14:paraId="23F69D96"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47084CD9"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br/>
              <w:t xml:space="preserve">(4) Valoarea mijloacelor fixe preluate este recunoscută de ANRE în baza reglementată a activelor (BAR) luată în considerare la stabilirea tarifului de distribuţie conform prevederilor </w:t>
            </w:r>
            <w:r w:rsidRPr="00066F52">
              <w:rPr>
                <w:rFonts w:ascii="Times New Roman" w:eastAsia="Times New Roman" w:hAnsi="Times New Roman" w:cs="Times New Roman"/>
                <w:i/>
                <w:iCs/>
                <w:color w:val="FF0000"/>
                <w:sz w:val="20"/>
                <w:szCs w:val="20"/>
                <w:lang w:eastAsia="ro-RO"/>
              </w:rPr>
              <w:t>Procedurii de Investitii</w:t>
            </w:r>
            <w:r w:rsidRPr="00066F52">
              <w:rPr>
                <w:rFonts w:ascii="Times New Roman" w:eastAsia="Times New Roman" w:hAnsi="Times New Roman" w:cs="Times New Roman"/>
                <w:color w:val="FF0000"/>
                <w:sz w:val="20"/>
                <w:szCs w:val="20"/>
                <w:lang w:eastAsia="ro-RO"/>
              </w:rPr>
              <w:t xml:space="preserve">  aprobată de ANRE.</w:t>
            </w:r>
          </w:p>
        </w:tc>
        <w:tc>
          <w:tcPr>
            <w:tcW w:w="930" w:type="pct"/>
            <w:tcBorders>
              <w:top w:val="nil"/>
              <w:left w:val="nil"/>
              <w:bottom w:val="single" w:sz="4" w:space="0" w:color="auto"/>
              <w:right w:val="single" w:sz="4" w:space="0" w:color="auto"/>
            </w:tcBorders>
            <w:shd w:val="clear" w:color="auto" w:fill="auto"/>
            <w:hideMark/>
          </w:tcPr>
          <w:p w14:paraId="2478F401"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790" w:type="pct"/>
            <w:tcBorders>
              <w:top w:val="nil"/>
              <w:left w:val="nil"/>
              <w:bottom w:val="single" w:sz="4" w:space="0" w:color="auto"/>
              <w:right w:val="single" w:sz="4" w:space="0" w:color="auto"/>
            </w:tcBorders>
            <w:shd w:val="clear" w:color="auto" w:fill="auto"/>
            <w:hideMark/>
          </w:tcPr>
          <w:p w14:paraId="4F3595AA"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Această prevedere face obiectul unei modificări a Procedurii privind fundamentarea şi criteriile de aprobare a planurilor de investiţii ale operatorului de transport şi de sistem şi ale operatorilor de distribuţie a energiei electrice.</w:t>
            </w:r>
          </w:p>
        </w:tc>
      </w:tr>
      <w:tr w:rsidR="00066F52" w:rsidRPr="00066F52" w14:paraId="517F2DA7" w14:textId="77777777" w:rsidTr="00720795">
        <w:trPr>
          <w:trHeight w:val="4224"/>
        </w:trPr>
        <w:tc>
          <w:tcPr>
            <w:tcW w:w="245" w:type="pct"/>
            <w:tcBorders>
              <w:top w:val="nil"/>
              <w:left w:val="single" w:sz="4" w:space="0" w:color="auto"/>
              <w:bottom w:val="single" w:sz="4" w:space="0" w:color="auto"/>
              <w:right w:val="single" w:sz="4" w:space="0" w:color="auto"/>
            </w:tcBorders>
            <w:shd w:val="clear" w:color="auto" w:fill="auto"/>
            <w:hideMark/>
          </w:tcPr>
          <w:p w14:paraId="169C9EEB"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lastRenderedPageBreak/>
              <w:t>26</w:t>
            </w:r>
          </w:p>
        </w:tc>
        <w:tc>
          <w:tcPr>
            <w:tcW w:w="265" w:type="pct"/>
            <w:tcBorders>
              <w:top w:val="nil"/>
              <w:left w:val="nil"/>
              <w:bottom w:val="single" w:sz="4" w:space="0" w:color="auto"/>
              <w:right w:val="single" w:sz="4" w:space="0" w:color="auto"/>
            </w:tcBorders>
            <w:shd w:val="clear" w:color="auto" w:fill="auto"/>
            <w:hideMark/>
          </w:tcPr>
          <w:p w14:paraId="11894948"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5</w:t>
            </w:r>
          </w:p>
        </w:tc>
        <w:tc>
          <w:tcPr>
            <w:tcW w:w="939" w:type="pct"/>
            <w:tcBorders>
              <w:top w:val="nil"/>
              <w:left w:val="nil"/>
              <w:bottom w:val="single" w:sz="4" w:space="0" w:color="auto"/>
              <w:right w:val="single" w:sz="4" w:space="0" w:color="auto"/>
            </w:tcBorders>
            <w:shd w:val="clear" w:color="auto" w:fill="auto"/>
            <w:hideMark/>
          </w:tcPr>
          <w:p w14:paraId="5ACD1391"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(1)</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În situaţiile prevǎzute la art. 44 alin. (8) şi la art. 46 alin. (2</w:t>
            </w:r>
            <w:r w:rsidRPr="00066F52">
              <w:rPr>
                <w:rFonts w:ascii="Times New Roman" w:eastAsia="Times New Roman" w:hAnsi="Times New Roman" w:cs="Times New Roman"/>
                <w:color w:val="000000"/>
                <w:sz w:val="20"/>
                <w:szCs w:val="20"/>
                <w:vertAlign w:val="superscript"/>
                <w:lang w:eastAsia="ro-RO"/>
              </w:rPr>
              <w:t>2</w:t>
            </w:r>
            <w:r w:rsidRPr="00066F52">
              <w:rPr>
                <w:rFonts w:ascii="Times New Roman" w:eastAsia="Times New Roman" w:hAnsi="Times New Roman" w:cs="Times New Roman"/>
                <w:color w:val="000000"/>
                <w:sz w:val="20"/>
                <w:szCs w:val="20"/>
                <w:lang w:eastAsia="ro-RO"/>
              </w:rPr>
              <w:t>) din Legea energiei electrice și a gazelor naturale nr. 123/2012, cu modificările și completările ulterioare, persoana fizică/juridică deținătoare a capacităților energetice de distribuție înaintează o ofertă de vânzare operatorului de distribuție concesionar din zona de concesiune în care se află aceste capacități energetice de distribuție.</w:t>
            </w:r>
          </w:p>
        </w:tc>
        <w:tc>
          <w:tcPr>
            <w:tcW w:w="670" w:type="pct"/>
            <w:tcBorders>
              <w:top w:val="nil"/>
              <w:left w:val="nil"/>
              <w:bottom w:val="single" w:sz="4" w:space="0" w:color="auto"/>
              <w:right w:val="single" w:sz="4" w:space="0" w:color="auto"/>
            </w:tcBorders>
            <w:shd w:val="clear" w:color="auto" w:fill="auto"/>
            <w:hideMark/>
          </w:tcPr>
          <w:p w14:paraId="0874754D"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76C4B35B"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xml:space="preserve">(1) În situaţiile prevǎzute la </w:t>
            </w:r>
            <w:r w:rsidRPr="00066F52">
              <w:rPr>
                <w:rFonts w:ascii="Times New Roman" w:eastAsia="Times New Roman" w:hAnsi="Times New Roman" w:cs="Times New Roman"/>
                <w:strike/>
                <w:color w:val="000000"/>
                <w:sz w:val="20"/>
                <w:szCs w:val="20"/>
                <w:lang w:eastAsia="ro-RO"/>
              </w:rPr>
              <w:t>art. 44 alin. (8) şi la art. 46 alin. (2</w:t>
            </w:r>
            <w:r w:rsidRPr="00066F52">
              <w:rPr>
                <w:rFonts w:ascii="Times New Roman" w:eastAsia="Times New Roman" w:hAnsi="Times New Roman" w:cs="Times New Roman"/>
                <w:strike/>
                <w:color w:val="000000"/>
                <w:sz w:val="20"/>
                <w:szCs w:val="20"/>
                <w:vertAlign w:val="superscript"/>
                <w:lang w:eastAsia="ro-RO"/>
              </w:rPr>
              <w:t>2</w:t>
            </w:r>
            <w:r w:rsidRPr="00066F52">
              <w:rPr>
                <w:rFonts w:ascii="Times New Roman" w:eastAsia="Times New Roman" w:hAnsi="Times New Roman" w:cs="Times New Roman"/>
                <w:strike/>
                <w:color w:val="000000"/>
                <w:sz w:val="20"/>
                <w:szCs w:val="20"/>
                <w:lang w:eastAsia="ro-RO"/>
              </w:rPr>
              <w:t>) din Legea energiei electrice și a gazelor naturale nr. 123/2012, cu modificările și completările ulterioare,</w:t>
            </w:r>
            <w:r w:rsidRPr="00066F52">
              <w:rPr>
                <w:rFonts w:ascii="Times New Roman" w:eastAsia="Times New Roman" w:hAnsi="Times New Roman" w:cs="Times New Roman"/>
                <w:color w:val="000000"/>
                <w:sz w:val="20"/>
                <w:szCs w:val="20"/>
                <w:lang w:eastAsia="ro-RO"/>
              </w:rPr>
              <w:t xml:space="preserve"> </w:t>
            </w:r>
            <w:r w:rsidRPr="00066F52">
              <w:rPr>
                <w:rFonts w:ascii="Times New Roman" w:eastAsia="Times New Roman" w:hAnsi="Times New Roman" w:cs="Times New Roman"/>
                <w:color w:val="FF0000"/>
                <w:sz w:val="20"/>
                <w:szCs w:val="20"/>
                <w:lang w:eastAsia="ro-RO"/>
              </w:rPr>
              <w:t xml:space="preserve">la art. 1 </w:t>
            </w:r>
            <w:r w:rsidRPr="00066F52">
              <w:rPr>
                <w:rFonts w:ascii="Times New Roman" w:eastAsia="Times New Roman" w:hAnsi="Times New Roman" w:cs="Times New Roman"/>
                <w:color w:val="000000"/>
                <w:sz w:val="20"/>
                <w:szCs w:val="20"/>
                <w:lang w:eastAsia="ro-RO"/>
              </w:rPr>
              <w:t xml:space="preserve">persoana fizică/juridică deținătoare a capacităților energetice de distribuție </w:t>
            </w:r>
            <w:r w:rsidRPr="00066F52">
              <w:rPr>
                <w:rFonts w:ascii="Times New Roman" w:eastAsia="Times New Roman" w:hAnsi="Times New Roman" w:cs="Times New Roman"/>
                <w:strike/>
                <w:color w:val="000000"/>
                <w:sz w:val="20"/>
                <w:szCs w:val="20"/>
                <w:lang w:eastAsia="ro-RO"/>
              </w:rPr>
              <w:t>înaintează</w:t>
            </w:r>
            <w:r w:rsidRPr="00066F52">
              <w:rPr>
                <w:rFonts w:ascii="Times New Roman" w:eastAsia="Times New Roman" w:hAnsi="Times New Roman" w:cs="Times New Roman"/>
                <w:color w:val="000000"/>
                <w:sz w:val="20"/>
                <w:szCs w:val="20"/>
                <w:lang w:eastAsia="ro-RO"/>
              </w:rPr>
              <w:t xml:space="preserve"> </w:t>
            </w:r>
            <w:r w:rsidRPr="00066F52">
              <w:rPr>
                <w:rFonts w:ascii="Times New Roman" w:eastAsia="Times New Roman" w:hAnsi="Times New Roman" w:cs="Times New Roman"/>
                <w:color w:val="FF0000"/>
                <w:sz w:val="20"/>
                <w:szCs w:val="20"/>
                <w:lang w:eastAsia="ro-RO"/>
              </w:rPr>
              <w:t xml:space="preserve">are obligația de a înainta o notificare privind intentia </w:t>
            </w:r>
            <w:r w:rsidRPr="00066F52">
              <w:rPr>
                <w:rFonts w:ascii="Times New Roman" w:eastAsia="Times New Roman" w:hAnsi="Times New Roman" w:cs="Times New Roman"/>
                <w:strike/>
                <w:color w:val="000000"/>
                <w:sz w:val="20"/>
                <w:szCs w:val="20"/>
                <w:lang w:eastAsia="ro-RO"/>
              </w:rPr>
              <w:t>o ofertă</w:t>
            </w:r>
            <w:r w:rsidRPr="00066F52">
              <w:rPr>
                <w:rFonts w:ascii="Times New Roman" w:eastAsia="Times New Roman" w:hAnsi="Times New Roman" w:cs="Times New Roman"/>
                <w:color w:val="000000"/>
                <w:sz w:val="20"/>
                <w:szCs w:val="20"/>
                <w:lang w:eastAsia="ro-RO"/>
              </w:rPr>
              <w:t xml:space="preserve"> de vânzare </w:t>
            </w:r>
            <w:r w:rsidRPr="00066F52">
              <w:rPr>
                <w:rFonts w:ascii="Times New Roman" w:eastAsia="Times New Roman" w:hAnsi="Times New Roman" w:cs="Times New Roman"/>
                <w:color w:val="FF0000"/>
                <w:sz w:val="20"/>
                <w:szCs w:val="20"/>
                <w:lang w:eastAsia="ro-RO"/>
              </w:rPr>
              <w:t>a acestora</w:t>
            </w:r>
            <w:r w:rsidRPr="00066F52">
              <w:rPr>
                <w:rFonts w:ascii="Times New Roman" w:eastAsia="Times New Roman" w:hAnsi="Times New Roman" w:cs="Times New Roman"/>
                <w:color w:val="000000"/>
                <w:sz w:val="20"/>
                <w:szCs w:val="20"/>
                <w:lang w:eastAsia="ro-RO"/>
              </w:rPr>
              <w:t>, operatorului de distribuție concesionar din zona de concesiune în care se află aceste capacități energetice de distribuție.</w:t>
            </w:r>
          </w:p>
        </w:tc>
        <w:tc>
          <w:tcPr>
            <w:tcW w:w="930" w:type="pct"/>
            <w:tcBorders>
              <w:top w:val="nil"/>
              <w:left w:val="nil"/>
              <w:bottom w:val="single" w:sz="4" w:space="0" w:color="auto"/>
              <w:right w:val="single" w:sz="4" w:space="0" w:color="auto"/>
            </w:tcBorders>
            <w:shd w:val="clear" w:color="auto" w:fill="auto"/>
            <w:hideMark/>
          </w:tcPr>
          <w:p w14:paraId="7321A696"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Corelare cu:</w:t>
            </w:r>
            <w:r w:rsidRPr="00066F52">
              <w:rPr>
                <w:rFonts w:ascii="Times New Roman" w:eastAsia="Times New Roman" w:hAnsi="Times New Roman" w:cs="Times New Roman"/>
                <w:color w:val="000000"/>
                <w:sz w:val="20"/>
                <w:szCs w:val="20"/>
                <w:lang w:eastAsia="ro-RO"/>
              </w:rPr>
              <w:br/>
              <w:t>- motivatiile de la art 1</w:t>
            </w:r>
            <w:r w:rsidRPr="00066F52">
              <w:rPr>
                <w:rFonts w:ascii="Times New Roman" w:eastAsia="Times New Roman" w:hAnsi="Times New Roman" w:cs="Times New Roman"/>
                <w:color w:val="000000"/>
                <w:sz w:val="20"/>
                <w:szCs w:val="20"/>
                <w:lang w:eastAsia="ro-RO"/>
              </w:rPr>
              <w:br/>
              <w:t>- prevederile  art 46 alin 2 2  din Legea 123/2012</w:t>
            </w:r>
            <w:r w:rsidRPr="00066F52">
              <w:rPr>
                <w:rFonts w:ascii="Times New Roman" w:eastAsia="Times New Roman" w:hAnsi="Times New Roman" w:cs="Times New Roman"/>
                <w:color w:val="000000"/>
                <w:sz w:val="20"/>
                <w:szCs w:val="20"/>
                <w:lang w:eastAsia="ro-RO"/>
              </w:rPr>
              <w:br/>
              <w:t>Propunem ca vanzatorul sa trimita o notificare de intentie cu 60 de zile inainte de data depunerii ofertei de vanzare, pentru a putea stabilii care sunt capacitatile energetice de distributie necesare a fi preluate in vederea intocmirii ofertei financiare, corelat cu prevederile de la art. 6, alin (1): ’’… operatorul de distribuție concesionar are obligația de a achiziționa acele componente ale reţelei care îi sunt strict necesare pentru prestarea serviciului, în condițiile în care nu a identificat o soluție de dezvoltare a reţelei în zonǎ a cǎrei realizare necesită costuri mai mici decât valoarea din oferta de vânzare.’’</w:t>
            </w:r>
          </w:p>
        </w:tc>
        <w:tc>
          <w:tcPr>
            <w:tcW w:w="790" w:type="pct"/>
            <w:tcBorders>
              <w:top w:val="nil"/>
              <w:left w:val="nil"/>
              <w:bottom w:val="single" w:sz="4" w:space="0" w:color="auto"/>
              <w:right w:val="single" w:sz="4" w:space="0" w:color="auto"/>
            </w:tcBorders>
            <w:shd w:val="clear" w:color="auto" w:fill="auto"/>
            <w:hideMark/>
          </w:tcPr>
          <w:p w14:paraId="6D00C47F"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v. motivarea de la propunerea de modificare a art. 1</w:t>
            </w:r>
          </w:p>
        </w:tc>
      </w:tr>
      <w:tr w:rsidR="00066F52" w:rsidRPr="00066F52" w14:paraId="312D9B6E" w14:textId="77777777" w:rsidTr="00720795">
        <w:trPr>
          <w:trHeight w:val="1320"/>
        </w:trPr>
        <w:tc>
          <w:tcPr>
            <w:tcW w:w="245" w:type="pct"/>
            <w:tcBorders>
              <w:top w:val="nil"/>
              <w:left w:val="single" w:sz="4" w:space="0" w:color="auto"/>
              <w:bottom w:val="single" w:sz="4" w:space="0" w:color="auto"/>
              <w:right w:val="single" w:sz="4" w:space="0" w:color="auto"/>
            </w:tcBorders>
            <w:shd w:val="clear" w:color="auto" w:fill="auto"/>
            <w:hideMark/>
          </w:tcPr>
          <w:p w14:paraId="170740B4"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27</w:t>
            </w:r>
          </w:p>
        </w:tc>
        <w:tc>
          <w:tcPr>
            <w:tcW w:w="265" w:type="pct"/>
            <w:vMerge w:val="restart"/>
            <w:tcBorders>
              <w:top w:val="nil"/>
              <w:left w:val="single" w:sz="4" w:space="0" w:color="auto"/>
              <w:bottom w:val="single" w:sz="4" w:space="0" w:color="auto"/>
              <w:right w:val="single" w:sz="4" w:space="0" w:color="auto"/>
            </w:tcBorders>
            <w:shd w:val="clear" w:color="auto" w:fill="auto"/>
            <w:hideMark/>
          </w:tcPr>
          <w:p w14:paraId="0C49F57D"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5</w:t>
            </w:r>
          </w:p>
        </w:tc>
        <w:tc>
          <w:tcPr>
            <w:tcW w:w="939" w:type="pct"/>
            <w:vMerge w:val="restart"/>
            <w:tcBorders>
              <w:top w:val="nil"/>
              <w:left w:val="single" w:sz="4" w:space="0" w:color="auto"/>
              <w:bottom w:val="single" w:sz="4" w:space="0" w:color="auto"/>
              <w:right w:val="single" w:sz="4" w:space="0" w:color="auto"/>
            </w:tcBorders>
            <w:shd w:val="clear" w:color="auto" w:fill="auto"/>
            <w:hideMark/>
          </w:tcPr>
          <w:p w14:paraId="0C5B6374"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(2)</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În oferta de vânzare prevǎzutǎ la alin. (1) sunt nominalizate activele supuse vânzării și prețul de vânzare propus.</w:t>
            </w:r>
          </w:p>
        </w:tc>
        <w:tc>
          <w:tcPr>
            <w:tcW w:w="670" w:type="pct"/>
            <w:tcBorders>
              <w:top w:val="nil"/>
              <w:left w:val="nil"/>
              <w:bottom w:val="single" w:sz="4" w:space="0" w:color="auto"/>
              <w:right w:val="single" w:sz="4" w:space="0" w:color="auto"/>
            </w:tcBorders>
            <w:shd w:val="clear" w:color="auto" w:fill="auto"/>
            <w:hideMark/>
          </w:tcPr>
          <w:p w14:paraId="2902FE9B"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e-Distribuție</w:t>
            </w:r>
          </w:p>
        </w:tc>
        <w:tc>
          <w:tcPr>
            <w:tcW w:w="1161" w:type="pct"/>
            <w:tcBorders>
              <w:top w:val="nil"/>
              <w:left w:val="nil"/>
              <w:bottom w:val="single" w:sz="4" w:space="0" w:color="auto"/>
              <w:right w:val="single" w:sz="4" w:space="0" w:color="auto"/>
            </w:tcBorders>
            <w:shd w:val="clear" w:color="auto" w:fill="auto"/>
            <w:hideMark/>
          </w:tcPr>
          <w:p w14:paraId="72EE5340"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xml:space="preserve">(2) În oferta de vânzare prevǎzutǎ la alin. (1) sunt nominalizate activele supuse vânzării și prețul de vânzare propus, </w:t>
            </w:r>
            <w:r w:rsidRPr="00066F52">
              <w:rPr>
                <w:rFonts w:ascii="Times New Roman" w:eastAsia="Times New Roman" w:hAnsi="Times New Roman" w:cs="Times New Roman"/>
                <w:color w:val="FF0000"/>
                <w:sz w:val="20"/>
                <w:szCs w:val="20"/>
                <w:lang w:eastAsia="ro-RO"/>
              </w:rPr>
              <w:t>la o valoare justificata a capacitatilor energetice, certificate de un expert autorizat, independent.</w:t>
            </w:r>
          </w:p>
        </w:tc>
        <w:tc>
          <w:tcPr>
            <w:tcW w:w="930" w:type="pct"/>
            <w:tcBorders>
              <w:top w:val="nil"/>
              <w:left w:val="nil"/>
              <w:bottom w:val="single" w:sz="4" w:space="0" w:color="auto"/>
              <w:right w:val="single" w:sz="4" w:space="0" w:color="auto"/>
            </w:tcBorders>
            <w:shd w:val="clear" w:color="auto" w:fill="auto"/>
            <w:hideMark/>
          </w:tcPr>
          <w:p w14:paraId="3BFCC160"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Aceasta este cerinta legala conform art 46 alin (22).   Costurile acestei certificari sunt in sarcina vanzatorului, fiind in sarcina expertului sa certifice un pret in baza valorii mijloacelor fixe si a altor criterii tehnice, inclusiv.</w:t>
            </w:r>
          </w:p>
        </w:tc>
        <w:tc>
          <w:tcPr>
            <w:tcW w:w="790" w:type="pct"/>
            <w:tcBorders>
              <w:top w:val="nil"/>
              <w:left w:val="nil"/>
              <w:bottom w:val="single" w:sz="4" w:space="0" w:color="auto"/>
              <w:right w:val="single" w:sz="4" w:space="0" w:color="auto"/>
            </w:tcBorders>
            <w:shd w:val="clear" w:color="auto" w:fill="auto"/>
            <w:hideMark/>
          </w:tcPr>
          <w:p w14:paraId="6A9354EB"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Art. 6 alin (2) din metodologie conține această prevedere.</w:t>
            </w:r>
          </w:p>
        </w:tc>
      </w:tr>
      <w:tr w:rsidR="00066F52" w:rsidRPr="00066F52" w14:paraId="281E0CD4" w14:textId="77777777" w:rsidTr="00720795">
        <w:trPr>
          <w:trHeight w:val="1584"/>
        </w:trPr>
        <w:tc>
          <w:tcPr>
            <w:tcW w:w="245" w:type="pct"/>
            <w:tcBorders>
              <w:top w:val="nil"/>
              <w:left w:val="single" w:sz="4" w:space="0" w:color="auto"/>
              <w:bottom w:val="single" w:sz="4" w:space="0" w:color="auto"/>
              <w:right w:val="single" w:sz="4" w:space="0" w:color="auto"/>
            </w:tcBorders>
            <w:shd w:val="clear" w:color="auto" w:fill="auto"/>
            <w:hideMark/>
          </w:tcPr>
          <w:p w14:paraId="3DB09F8E"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28</w:t>
            </w:r>
          </w:p>
        </w:tc>
        <w:tc>
          <w:tcPr>
            <w:tcW w:w="265" w:type="pct"/>
            <w:vMerge/>
            <w:tcBorders>
              <w:top w:val="nil"/>
              <w:left w:val="single" w:sz="4" w:space="0" w:color="auto"/>
              <w:bottom w:val="single" w:sz="4" w:space="0" w:color="auto"/>
              <w:right w:val="single" w:sz="4" w:space="0" w:color="auto"/>
            </w:tcBorders>
            <w:vAlign w:val="center"/>
            <w:hideMark/>
          </w:tcPr>
          <w:p w14:paraId="3BE5E733"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c>
          <w:tcPr>
            <w:tcW w:w="939" w:type="pct"/>
            <w:vMerge/>
            <w:tcBorders>
              <w:top w:val="nil"/>
              <w:left w:val="single" w:sz="4" w:space="0" w:color="auto"/>
              <w:bottom w:val="single" w:sz="4" w:space="0" w:color="auto"/>
              <w:right w:val="single" w:sz="4" w:space="0" w:color="auto"/>
            </w:tcBorders>
            <w:vAlign w:val="center"/>
            <w:hideMark/>
          </w:tcPr>
          <w:p w14:paraId="7DE3567B"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p>
        </w:tc>
        <w:tc>
          <w:tcPr>
            <w:tcW w:w="670" w:type="pct"/>
            <w:tcBorders>
              <w:top w:val="nil"/>
              <w:left w:val="nil"/>
              <w:bottom w:val="single" w:sz="4" w:space="0" w:color="auto"/>
              <w:right w:val="single" w:sz="4" w:space="0" w:color="auto"/>
            </w:tcBorders>
            <w:shd w:val="clear" w:color="auto" w:fill="auto"/>
            <w:hideMark/>
          </w:tcPr>
          <w:p w14:paraId="1579AD6A"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77FE7161"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strike/>
                <w:color w:val="000000"/>
                <w:sz w:val="20"/>
                <w:szCs w:val="20"/>
                <w:lang w:eastAsia="ro-RO"/>
              </w:rPr>
              <w:t>(2) În oferta de vânzare prevǎzutǎ la alin. (1) sunt nominalizate activele supuse vânzării și prețul de vânzare propus.</w:t>
            </w:r>
            <w:r w:rsidRPr="00066F52">
              <w:rPr>
                <w:rFonts w:ascii="Times New Roman" w:eastAsia="Times New Roman" w:hAnsi="Times New Roman" w:cs="Times New Roman"/>
                <w:strike/>
                <w:color w:val="000000"/>
                <w:sz w:val="20"/>
                <w:szCs w:val="20"/>
                <w:lang w:eastAsia="ro-RO"/>
              </w:rPr>
              <w:br/>
            </w:r>
            <w:r w:rsidRPr="00066F52">
              <w:rPr>
                <w:rFonts w:ascii="Times New Roman" w:eastAsia="Times New Roman" w:hAnsi="Times New Roman" w:cs="Times New Roman"/>
                <w:color w:val="FF0000"/>
                <w:sz w:val="20"/>
                <w:szCs w:val="20"/>
                <w:lang w:eastAsia="ro-RO"/>
              </w:rPr>
              <w:t xml:space="preserve">(2) OD analizează intenția de vânzare a capacitățtilor energetice de distribuție și transmite în termen de 60 zile care </w:t>
            </w:r>
            <w:r w:rsidRPr="00066F52">
              <w:rPr>
                <w:rFonts w:ascii="Times New Roman" w:eastAsia="Times New Roman" w:hAnsi="Times New Roman" w:cs="Times New Roman"/>
                <w:color w:val="FF0000"/>
                <w:sz w:val="20"/>
                <w:szCs w:val="20"/>
                <w:lang w:eastAsia="ro-RO"/>
              </w:rPr>
              <w:lastRenderedPageBreak/>
              <w:t>sunt capacitățile considerate necesare pentru asigurarea prestării serviciului de distribuție și care vor face obiectul transferului.</w:t>
            </w:r>
          </w:p>
        </w:tc>
        <w:tc>
          <w:tcPr>
            <w:tcW w:w="930" w:type="pct"/>
            <w:tcBorders>
              <w:top w:val="nil"/>
              <w:left w:val="nil"/>
              <w:bottom w:val="single" w:sz="4" w:space="0" w:color="auto"/>
              <w:right w:val="single" w:sz="4" w:space="0" w:color="auto"/>
            </w:tcBorders>
            <w:shd w:val="clear" w:color="auto" w:fill="auto"/>
            <w:hideMark/>
          </w:tcPr>
          <w:p w14:paraId="77508714"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lastRenderedPageBreak/>
              <w:t> </w:t>
            </w:r>
          </w:p>
        </w:tc>
        <w:tc>
          <w:tcPr>
            <w:tcW w:w="790" w:type="pct"/>
            <w:vMerge w:val="restart"/>
            <w:tcBorders>
              <w:top w:val="nil"/>
              <w:left w:val="single" w:sz="4" w:space="0" w:color="auto"/>
              <w:bottom w:val="single" w:sz="4" w:space="0" w:color="auto"/>
              <w:right w:val="single" w:sz="4" w:space="0" w:color="auto"/>
            </w:tcBorders>
            <w:shd w:val="clear" w:color="auto" w:fill="auto"/>
            <w:hideMark/>
          </w:tcPr>
          <w:p w14:paraId="675AF962"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 xml:space="preserve">Metodologia propusă prevede principiile care trebuie avute în vedere la preluarea de capacități energetice de distribuție care fac obiectul unei </w:t>
            </w:r>
            <w:r w:rsidRPr="00066F52">
              <w:rPr>
                <w:rFonts w:ascii="Times New Roman" w:eastAsia="Times New Roman" w:hAnsi="Times New Roman" w:cs="Times New Roman"/>
                <w:color w:val="000000"/>
                <w:sz w:val="20"/>
                <w:szCs w:val="20"/>
                <w:lang w:eastAsia="ro-RO"/>
              </w:rPr>
              <w:lastRenderedPageBreak/>
              <w:t>oferte în condițiile prevederilor din lege la care se raportează. Între momentul ofertării și cel al încheierii contractului de vânzare-cumpărare, procesul de negociere purtat în spiritul principiilor prevăzute de metodologie, în timpul prevăzut de lege (120 de zile), este atributul neîngrădit al părților care negociază.  Considerăm că acest proces nu trebuie limitat prin alte prevederi.</w:t>
            </w:r>
          </w:p>
        </w:tc>
      </w:tr>
      <w:tr w:rsidR="00066F52" w:rsidRPr="00066F52" w14:paraId="618F5A8C" w14:textId="77777777" w:rsidTr="00720795">
        <w:trPr>
          <w:trHeight w:val="1584"/>
        </w:trPr>
        <w:tc>
          <w:tcPr>
            <w:tcW w:w="245" w:type="pct"/>
            <w:tcBorders>
              <w:top w:val="nil"/>
              <w:left w:val="single" w:sz="4" w:space="0" w:color="auto"/>
              <w:bottom w:val="single" w:sz="4" w:space="0" w:color="auto"/>
              <w:right w:val="single" w:sz="4" w:space="0" w:color="auto"/>
            </w:tcBorders>
            <w:shd w:val="clear" w:color="auto" w:fill="auto"/>
            <w:hideMark/>
          </w:tcPr>
          <w:p w14:paraId="23DEEDE5"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lastRenderedPageBreak/>
              <w:t>29</w:t>
            </w:r>
          </w:p>
        </w:tc>
        <w:tc>
          <w:tcPr>
            <w:tcW w:w="265" w:type="pct"/>
            <w:tcBorders>
              <w:top w:val="nil"/>
              <w:left w:val="nil"/>
              <w:bottom w:val="single" w:sz="4" w:space="0" w:color="auto"/>
              <w:right w:val="single" w:sz="4" w:space="0" w:color="auto"/>
            </w:tcBorders>
            <w:shd w:val="clear" w:color="auto" w:fill="auto"/>
            <w:hideMark/>
          </w:tcPr>
          <w:p w14:paraId="3A592B9B"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5</w:t>
            </w:r>
          </w:p>
        </w:tc>
        <w:tc>
          <w:tcPr>
            <w:tcW w:w="939" w:type="pct"/>
            <w:tcBorders>
              <w:top w:val="nil"/>
              <w:left w:val="nil"/>
              <w:bottom w:val="single" w:sz="4" w:space="0" w:color="auto"/>
              <w:right w:val="single" w:sz="4" w:space="0" w:color="auto"/>
            </w:tcBorders>
            <w:shd w:val="clear" w:color="auto" w:fill="auto"/>
            <w:hideMark/>
          </w:tcPr>
          <w:p w14:paraId="09EAA2BE"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670" w:type="pct"/>
            <w:tcBorders>
              <w:top w:val="nil"/>
              <w:left w:val="nil"/>
              <w:bottom w:val="single" w:sz="4" w:space="0" w:color="auto"/>
              <w:right w:val="single" w:sz="4" w:space="0" w:color="auto"/>
            </w:tcBorders>
            <w:shd w:val="clear" w:color="auto" w:fill="auto"/>
            <w:hideMark/>
          </w:tcPr>
          <w:p w14:paraId="097206CD"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767BADA7"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 xml:space="preserve">(3) Vânzatorul întocmește  și transmite OD oferta de vânzare pentru capacitățile energetice de distribuție  conform alin. (2) și prețul de vânzare propus (pentru fiecare dintre capacitățile energetice de distribuție/mijloace fixe care urmează să fie preluate), în termen de 90 zile. În situația neîncadrării în acest termen, OD va relua analiza de la alin.(2).  </w:t>
            </w:r>
          </w:p>
        </w:tc>
        <w:tc>
          <w:tcPr>
            <w:tcW w:w="930" w:type="pct"/>
            <w:tcBorders>
              <w:top w:val="nil"/>
              <w:left w:val="nil"/>
              <w:bottom w:val="single" w:sz="4" w:space="0" w:color="auto"/>
              <w:right w:val="single" w:sz="4" w:space="0" w:color="auto"/>
            </w:tcBorders>
            <w:shd w:val="clear" w:color="auto" w:fill="auto"/>
            <w:hideMark/>
          </w:tcPr>
          <w:p w14:paraId="01C1CEF1"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xml:space="preserve">Termenul de 90 zile are in vedere posibilitatea modificarii conditiilor privind necesitatea si oportunitatea preluarii capacitatilor. </w:t>
            </w:r>
          </w:p>
        </w:tc>
        <w:tc>
          <w:tcPr>
            <w:tcW w:w="790" w:type="pct"/>
            <w:vMerge/>
            <w:tcBorders>
              <w:top w:val="nil"/>
              <w:left w:val="single" w:sz="4" w:space="0" w:color="auto"/>
              <w:bottom w:val="single" w:sz="4" w:space="0" w:color="auto"/>
              <w:right w:val="single" w:sz="4" w:space="0" w:color="auto"/>
            </w:tcBorders>
            <w:vAlign w:val="center"/>
            <w:hideMark/>
          </w:tcPr>
          <w:p w14:paraId="032C9CFD"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r>
      <w:tr w:rsidR="00066F52" w:rsidRPr="00066F52" w14:paraId="3C323E0A" w14:textId="77777777" w:rsidTr="00720795">
        <w:trPr>
          <w:trHeight w:val="2112"/>
        </w:trPr>
        <w:tc>
          <w:tcPr>
            <w:tcW w:w="245" w:type="pct"/>
            <w:tcBorders>
              <w:top w:val="nil"/>
              <w:left w:val="single" w:sz="4" w:space="0" w:color="auto"/>
              <w:bottom w:val="single" w:sz="4" w:space="0" w:color="auto"/>
              <w:right w:val="single" w:sz="4" w:space="0" w:color="auto"/>
            </w:tcBorders>
            <w:shd w:val="clear" w:color="auto" w:fill="auto"/>
            <w:hideMark/>
          </w:tcPr>
          <w:p w14:paraId="53918605"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30</w:t>
            </w:r>
          </w:p>
        </w:tc>
        <w:tc>
          <w:tcPr>
            <w:tcW w:w="265" w:type="pct"/>
            <w:tcBorders>
              <w:top w:val="nil"/>
              <w:left w:val="nil"/>
              <w:bottom w:val="single" w:sz="4" w:space="0" w:color="auto"/>
              <w:right w:val="single" w:sz="4" w:space="0" w:color="auto"/>
            </w:tcBorders>
            <w:shd w:val="clear" w:color="auto" w:fill="auto"/>
            <w:hideMark/>
          </w:tcPr>
          <w:p w14:paraId="10CF45DC"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5</w:t>
            </w:r>
          </w:p>
        </w:tc>
        <w:tc>
          <w:tcPr>
            <w:tcW w:w="939" w:type="pct"/>
            <w:tcBorders>
              <w:top w:val="nil"/>
              <w:left w:val="nil"/>
              <w:bottom w:val="single" w:sz="4" w:space="0" w:color="auto"/>
              <w:right w:val="single" w:sz="4" w:space="0" w:color="auto"/>
            </w:tcBorders>
            <w:shd w:val="clear" w:color="auto" w:fill="auto"/>
            <w:hideMark/>
          </w:tcPr>
          <w:p w14:paraId="7AB7CCCE"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670" w:type="pct"/>
            <w:tcBorders>
              <w:top w:val="nil"/>
              <w:left w:val="nil"/>
              <w:bottom w:val="single" w:sz="4" w:space="0" w:color="auto"/>
              <w:right w:val="single" w:sz="4" w:space="0" w:color="auto"/>
            </w:tcBorders>
            <w:shd w:val="clear" w:color="auto" w:fill="auto"/>
            <w:hideMark/>
          </w:tcPr>
          <w:p w14:paraId="7838EA67"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3A855D17"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(4) Oferta de vânzare prevazută la alin. (3) va fi însoțită de un raport întocmit de un evaluator expert autorizat independent atestat de Asociaţia Naţională a Evaluatorilor din România - ANEVAR privind valoarea justificata a capacităţilor energetice de distributie care vor face obiectul preluării de către OD. Cheltuielile ocazionate cu efectuarea expertizei de specialitate revin vânzatorului. În conditiile în care OD este de acord cheltuielile pot fi împărțite între părți.</w:t>
            </w:r>
          </w:p>
        </w:tc>
        <w:tc>
          <w:tcPr>
            <w:tcW w:w="930" w:type="pct"/>
            <w:tcBorders>
              <w:top w:val="nil"/>
              <w:left w:val="nil"/>
              <w:bottom w:val="single" w:sz="4" w:space="0" w:color="auto"/>
              <w:right w:val="single" w:sz="4" w:space="0" w:color="auto"/>
            </w:tcBorders>
            <w:shd w:val="clear" w:color="auto" w:fill="auto"/>
            <w:noWrap/>
            <w:hideMark/>
          </w:tcPr>
          <w:p w14:paraId="295115F2"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790" w:type="pct"/>
            <w:vMerge/>
            <w:tcBorders>
              <w:top w:val="nil"/>
              <w:left w:val="single" w:sz="4" w:space="0" w:color="auto"/>
              <w:bottom w:val="single" w:sz="4" w:space="0" w:color="auto"/>
              <w:right w:val="single" w:sz="4" w:space="0" w:color="auto"/>
            </w:tcBorders>
            <w:vAlign w:val="center"/>
            <w:hideMark/>
          </w:tcPr>
          <w:p w14:paraId="26C3AF8B"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r>
      <w:tr w:rsidR="00066F52" w:rsidRPr="00066F52" w14:paraId="6A1B2F4F" w14:textId="77777777" w:rsidTr="00720795">
        <w:trPr>
          <w:trHeight w:val="1056"/>
        </w:trPr>
        <w:tc>
          <w:tcPr>
            <w:tcW w:w="245" w:type="pct"/>
            <w:tcBorders>
              <w:top w:val="nil"/>
              <w:left w:val="single" w:sz="4" w:space="0" w:color="auto"/>
              <w:bottom w:val="single" w:sz="4" w:space="0" w:color="auto"/>
              <w:right w:val="single" w:sz="4" w:space="0" w:color="auto"/>
            </w:tcBorders>
            <w:shd w:val="clear" w:color="auto" w:fill="auto"/>
            <w:hideMark/>
          </w:tcPr>
          <w:p w14:paraId="6E82D79A"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31</w:t>
            </w:r>
          </w:p>
        </w:tc>
        <w:tc>
          <w:tcPr>
            <w:tcW w:w="265" w:type="pct"/>
            <w:tcBorders>
              <w:top w:val="nil"/>
              <w:left w:val="nil"/>
              <w:bottom w:val="single" w:sz="4" w:space="0" w:color="auto"/>
              <w:right w:val="single" w:sz="4" w:space="0" w:color="auto"/>
            </w:tcBorders>
            <w:shd w:val="clear" w:color="auto" w:fill="auto"/>
            <w:hideMark/>
          </w:tcPr>
          <w:p w14:paraId="2C962436"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5</w:t>
            </w:r>
          </w:p>
        </w:tc>
        <w:tc>
          <w:tcPr>
            <w:tcW w:w="939" w:type="pct"/>
            <w:tcBorders>
              <w:top w:val="nil"/>
              <w:left w:val="nil"/>
              <w:bottom w:val="single" w:sz="4" w:space="0" w:color="auto"/>
              <w:right w:val="single" w:sz="4" w:space="0" w:color="auto"/>
            </w:tcBorders>
            <w:shd w:val="clear" w:color="auto" w:fill="auto"/>
            <w:hideMark/>
          </w:tcPr>
          <w:p w14:paraId="16F7E970"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670" w:type="pct"/>
            <w:tcBorders>
              <w:top w:val="nil"/>
              <w:left w:val="nil"/>
              <w:bottom w:val="single" w:sz="4" w:space="0" w:color="auto"/>
              <w:right w:val="single" w:sz="4" w:space="0" w:color="auto"/>
            </w:tcBorders>
            <w:shd w:val="clear" w:color="auto" w:fill="auto"/>
            <w:hideMark/>
          </w:tcPr>
          <w:p w14:paraId="3FC31B8B"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3B0483A1"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 xml:space="preserve">(5) În termen de 20 de zile de la data depunerii ofertei de vânzare, OD transmite vânzătorului solicitări de clarificare evaluatorului și o invitație la negociere, care va avea loc în cel mult 20 zile de la data comunicării. </w:t>
            </w:r>
          </w:p>
        </w:tc>
        <w:tc>
          <w:tcPr>
            <w:tcW w:w="930" w:type="pct"/>
            <w:tcBorders>
              <w:top w:val="nil"/>
              <w:left w:val="nil"/>
              <w:bottom w:val="single" w:sz="4" w:space="0" w:color="auto"/>
              <w:right w:val="single" w:sz="4" w:space="0" w:color="auto"/>
            </w:tcBorders>
            <w:shd w:val="clear" w:color="auto" w:fill="auto"/>
            <w:hideMark/>
          </w:tcPr>
          <w:p w14:paraId="373A930D"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vMerge/>
            <w:tcBorders>
              <w:top w:val="nil"/>
              <w:left w:val="single" w:sz="4" w:space="0" w:color="auto"/>
              <w:bottom w:val="single" w:sz="4" w:space="0" w:color="auto"/>
              <w:right w:val="single" w:sz="4" w:space="0" w:color="auto"/>
            </w:tcBorders>
            <w:vAlign w:val="center"/>
            <w:hideMark/>
          </w:tcPr>
          <w:p w14:paraId="5D283236"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r>
      <w:tr w:rsidR="00066F52" w:rsidRPr="00066F52" w14:paraId="7718A181" w14:textId="77777777" w:rsidTr="00720795">
        <w:trPr>
          <w:trHeight w:val="1368"/>
        </w:trPr>
        <w:tc>
          <w:tcPr>
            <w:tcW w:w="245" w:type="pct"/>
            <w:tcBorders>
              <w:top w:val="nil"/>
              <w:left w:val="single" w:sz="4" w:space="0" w:color="auto"/>
              <w:bottom w:val="single" w:sz="4" w:space="0" w:color="auto"/>
              <w:right w:val="single" w:sz="4" w:space="0" w:color="auto"/>
            </w:tcBorders>
            <w:shd w:val="clear" w:color="auto" w:fill="auto"/>
            <w:hideMark/>
          </w:tcPr>
          <w:p w14:paraId="2FF2E6E8"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lastRenderedPageBreak/>
              <w:t>32</w:t>
            </w:r>
          </w:p>
        </w:tc>
        <w:tc>
          <w:tcPr>
            <w:tcW w:w="265" w:type="pct"/>
            <w:tcBorders>
              <w:top w:val="nil"/>
              <w:left w:val="nil"/>
              <w:bottom w:val="single" w:sz="4" w:space="0" w:color="auto"/>
              <w:right w:val="single" w:sz="4" w:space="0" w:color="auto"/>
            </w:tcBorders>
            <w:shd w:val="clear" w:color="auto" w:fill="auto"/>
            <w:hideMark/>
          </w:tcPr>
          <w:p w14:paraId="149119C4"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5</w:t>
            </w:r>
          </w:p>
        </w:tc>
        <w:tc>
          <w:tcPr>
            <w:tcW w:w="939" w:type="pct"/>
            <w:tcBorders>
              <w:top w:val="nil"/>
              <w:left w:val="nil"/>
              <w:bottom w:val="single" w:sz="4" w:space="0" w:color="auto"/>
              <w:right w:val="single" w:sz="4" w:space="0" w:color="auto"/>
            </w:tcBorders>
            <w:shd w:val="clear" w:color="auto" w:fill="auto"/>
            <w:hideMark/>
          </w:tcPr>
          <w:p w14:paraId="1D96329F"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670" w:type="pct"/>
            <w:tcBorders>
              <w:top w:val="nil"/>
              <w:left w:val="nil"/>
              <w:bottom w:val="single" w:sz="4" w:space="0" w:color="auto"/>
              <w:right w:val="single" w:sz="4" w:space="0" w:color="auto"/>
            </w:tcBorders>
            <w:shd w:val="clear" w:color="auto" w:fill="auto"/>
            <w:hideMark/>
          </w:tcPr>
          <w:p w14:paraId="2620BD01"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50FF8E87"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(6) În termen de 20 zile de la data acceptării ofertei, respectiv de la finalizarea negocierii prevăzute la alin. (5), OD trimite la ANRE pentru avizare preluarea de capacități în conditii negociate, în conformitate cu prevederile art. 10</w:t>
            </w:r>
            <w:r w:rsidRPr="00066F52">
              <w:rPr>
                <w:rFonts w:ascii="Times New Roman" w:eastAsia="Times New Roman" w:hAnsi="Times New Roman" w:cs="Times New Roman"/>
                <w:color w:val="FF0000"/>
                <w:sz w:val="20"/>
                <w:szCs w:val="20"/>
                <w:vertAlign w:val="superscript"/>
                <w:lang w:eastAsia="ro-RO"/>
              </w:rPr>
              <w:t>1</w:t>
            </w:r>
            <w:r w:rsidRPr="00066F52">
              <w:rPr>
                <w:rFonts w:ascii="Times New Roman" w:eastAsia="Times New Roman" w:hAnsi="Times New Roman" w:cs="Times New Roman"/>
                <w:color w:val="FF0000"/>
                <w:sz w:val="20"/>
                <w:szCs w:val="20"/>
                <w:lang w:eastAsia="ro-RO"/>
              </w:rPr>
              <w:t>.</w:t>
            </w:r>
          </w:p>
        </w:tc>
        <w:tc>
          <w:tcPr>
            <w:tcW w:w="930" w:type="pct"/>
            <w:tcBorders>
              <w:top w:val="nil"/>
              <w:left w:val="nil"/>
              <w:bottom w:val="single" w:sz="4" w:space="0" w:color="auto"/>
              <w:right w:val="single" w:sz="4" w:space="0" w:color="auto"/>
            </w:tcBorders>
            <w:shd w:val="clear" w:color="auto" w:fill="auto"/>
            <w:hideMark/>
          </w:tcPr>
          <w:p w14:paraId="770BAF99"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tcBorders>
              <w:top w:val="nil"/>
              <w:left w:val="nil"/>
              <w:bottom w:val="single" w:sz="4" w:space="0" w:color="auto"/>
              <w:right w:val="single" w:sz="4" w:space="0" w:color="auto"/>
            </w:tcBorders>
            <w:shd w:val="clear" w:color="auto" w:fill="auto"/>
            <w:hideMark/>
          </w:tcPr>
          <w:p w14:paraId="165C89A1"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Legea 123/2012 cu modificările și</w:t>
            </w:r>
            <w:r w:rsidRPr="00066F52">
              <w:rPr>
                <w:rFonts w:ascii="Times New Roman" w:eastAsia="Times New Roman" w:hAnsi="Times New Roman" w:cs="Times New Roman"/>
                <w:b/>
                <w:bCs/>
                <w:color w:val="000000"/>
                <w:sz w:val="20"/>
                <w:szCs w:val="20"/>
                <w:lang w:eastAsia="ro-RO"/>
              </w:rPr>
              <w:t xml:space="preserve"> c</w:t>
            </w:r>
            <w:r w:rsidRPr="00066F52">
              <w:rPr>
                <w:rFonts w:ascii="Times New Roman" w:eastAsia="Times New Roman" w:hAnsi="Times New Roman" w:cs="Times New Roman"/>
                <w:color w:val="000000"/>
                <w:sz w:val="20"/>
                <w:szCs w:val="20"/>
                <w:lang w:eastAsia="ro-RO"/>
              </w:rPr>
              <w:t>ompletările ulterioare nu mai prevede avizarea de către ANRE a preluării de capacități energetice</w:t>
            </w:r>
          </w:p>
        </w:tc>
      </w:tr>
      <w:tr w:rsidR="00066F52" w:rsidRPr="00066F52" w14:paraId="5C2C67E1" w14:textId="77777777" w:rsidTr="00720795">
        <w:trPr>
          <w:trHeight w:val="2640"/>
        </w:trPr>
        <w:tc>
          <w:tcPr>
            <w:tcW w:w="245" w:type="pct"/>
            <w:tcBorders>
              <w:top w:val="nil"/>
              <w:left w:val="single" w:sz="4" w:space="0" w:color="auto"/>
              <w:bottom w:val="single" w:sz="4" w:space="0" w:color="auto"/>
              <w:right w:val="single" w:sz="4" w:space="0" w:color="auto"/>
            </w:tcBorders>
            <w:shd w:val="clear" w:color="auto" w:fill="auto"/>
            <w:hideMark/>
          </w:tcPr>
          <w:p w14:paraId="06F8BEAA"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33</w:t>
            </w:r>
          </w:p>
        </w:tc>
        <w:tc>
          <w:tcPr>
            <w:tcW w:w="265" w:type="pct"/>
            <w:tcBorders>
              <w:top w:val="nil"/>
              <w:left w:val="nil"/>
              <w:bottom w:val="single" w:sz="4" w:space="0" w:color="auto"/>
              <w:right w:val="single" w:sz="4" w:space="0" w:color="auto"/>
            </w:tcBorders>
            <w:shd w:val="clear" w:color="auto" w:fill="auto"/>
            <w:hideMark/>
          </w:tcPr>
          <w:p w14:paraId="0FB72959"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5</w:t>
            </w:r>
          </w:p>
        </w:tc>
        <w:tc>
          <w:tcPr>
            <w:tcW w:w="939" w:type="pct"/>
            <w:tcBorders>
              <w:top w:val="nil"/>
              <w:left w:val="nil"/>
              <w:bottom w:val="single" w:sz="4" w:space="0" w:color="auto"/>
              <w:right w:val="single" w:sz="4" w:space="0" w:color="auto"/>
            </w:tcBorders>
            <w:shd w:val="clear" w:color="auto" w:fill="auto"/>
            <w:hideMark/>
          </w:tcPr>
          <w:p w14:paraId="00B9E78B"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670" w:type="pct"/>
            <w:tcBorders>
              <w:top w:val="nil"/>
              <w:left w:val="nil"/>
              <w:bottom w:val="single" w:sz="4" w:space="0" w:color="auto"/>
              <w:right w:val="single" w:sz="4" w:space="0" w:color="auto"/>
            </w:tcBorders>
            <w:shd w:val="clear" w:color="auto" w:fill="auto"/>
            <w:hideMark/>
          </w:tcPr>
          <w:p w14:paraId="76F4796A"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1BE2C103"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(7) ANRE trimite OD avizul privind preluarea de capacități prevazut la alin (6) în termen de 30 de zile.</w:t>
            </w:r>
          </w:p>
        </w:tc>
        <w:tc>
          <w:tcPr>
            <w:tcW w:w="930" w:type="pct"/>
            <w:tcBorders>
              <w:top w:val="nil"/>
              <w:left w:val="nil"/>
              <w:bottom w:val="single" w:sz="4" w:space="0" w:color="auto"/>
              <w:right w:val="single" w:sz="4" w:space="0" w:color="auto"/>
            </w:tcBorders>
            <w:shd w:val="clear" w:color="auto" w:fill="auto"/>
            <w:hideMark/>
          </w:tcPr>
          <w:p w14:paraId="65134583"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(7) Consideram necesar acordul ANRE anterior preluarii capacitatilor energetice de distributie in vederea recunoasterii acestora in BAR.</w:t>
            </w:r>
          </w:p>
        </w:tc>
        <w:tc>
          <w:tcPr>
            <w:tcW w:w="790" w:type="pct"/>
            <w:tcBorders>
              <w:top w:val="nil"/>
              <w:left w:val="nil"/>
              <w:bottom w:val="single" w:sz="4" w:space="0" w:color="auto"/>
              <w:right w:val="single" w:sz="4" w:space="0" w:color="auto"/>
            </w:tcBorders>
            <w:shd w:val="clear" w:color="auto" w:fill="auto"/>
            <w:hideMark/>
          </w:tcPr>
          <w:p w14:paraId="2F5E9FFD"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Preluarea de capacități reprezintă un proces de achiziție a unor active cu scopul asigurării continuității serviciului de distribuție a energiei electrice pentru utilizatorii racordați. Procedura și Metodologiile specifice prevăd toate condițiile referitoare la justificarea acestor achiziții pentru acceptarea lor în BAR. Nu mai este necesar un alt proces de avizare din partea ANRE.</w:t>
            </w:r>
          </w:p>
        </w:tc>
      </w:tr>
      <w:tr w:rsidR="00066F52" w:rsidRPr="00066F52" w14:paraId="5AFBAE78" w14:textId="77777777" w:rsidTr="00720795">
        <w:trPr>
          <w:trHeight w:val="3480"/>
        </w:trPr>
        <w:tc>
          <w:tcPr>
            <w:tcW w:w="245" w:type="pct"/>
            <w:tcBorders>
              <w:top w:val="nil"/>
              <w:left w:val="single" w:sz="4" w:space="0" w:color="auto"/>
              <w:bottom w:val="single" w:sz="4" w:space="0" w:color="auto"/>
              <w:right w:val="single" w:sz="4" w:space="0" w:color="auto"/>
            </w:tcBorders>
            <w:shd w:val="clear" w:color="auto" w:fill="auto"/>
            <w:hideMark/>
          </w:tcPr>
          <w:p w14:paraId="2E99FAB5"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34</w:t>
            </w:r>
          </w:p>
        </w:tc>
        <w:tc>
          <w:tcPr>
            <w:tcW w:w="265" w:type="pct"/>
            <w:vMerge w:val="restart"/>
            <w:tcBorders>
              <w:top w:val="nil"/>
              <w:left w:val="single" w:sz="4" w:space="0" w:color="auto"/>
              <w:bottom w:val="single" w:sz="4" w:space="0" w:color="auto"/>
              <w:right w:val="single" w:sz="4" w:space="0" w:color="auto"/>
            </w:tcBorders>
            <w:shd w:val="clear" w:color="auto" w:fill="auto"/>
            <w:hideMark/>
          </w:tcPr>
          <w:p w14:paraId="6433AEAB"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6</w:t>
            </w:r>
          </w:p>
        </w:tc>
        <w:tc>
          <w:tcPr>
            <w:tcW w:w="939" w:type="pct"/>
            <w:vMerge w:val="restart"/>
            <w:tcBorders>
              <w:top w:val="nil"/>
              <w:left w:val="single" w:sz="4" w:space="0" w:color="auto"/>
              <w:bottom w:val="single" w:sz="4" w:space="0" w:color="auto"/>
              <w:right w:val="single" w:sz="4" w:space="0" w:color="auto"/>
            </w:tcBorders>
            <w:shd w:val="clear" w:color="auto" w:fill="auto"/>
            <w:hideMark/>
          </w:tcPr>
          <w:p w14:paraId="2DC0C9D0"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(1)</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Pentru asigurarea continuității serviciului de distribuție a energiei electrice pentru utilizatorii racordați la rețeaua electrică de distribuție ce face obiectul ofertei de vânzare propuse conform prevederilor art. 46 alin (2</w:t>
            </w:r>
            <w:r w:rsidRPr="00066F52">
              <w:rPr>
                <w:rFonts w:ascii="Times New Roman" w:eastAsia="Times New Roman" w:hAnsi="Times New Roman" w:cs="Times New Roman"/>
                <w:color w:val="000000"/>
                <w:sz w:val="20"/>
                <w:szCs w:val="20"/>
                <w:vertAlign w:val="superscript"/>
                <w:lang w:eastAsia="ro-RO"/>
              </w:rPr>
              <w:t>2</w:t>
            </w:r>
            <w:r w:rsidRPr="00066F52">
              <w:rPr>
                <w:rFonts w:ascii="Times New Roman" w:eastAsia="Times New Roman" w:hAnsi="Times New Roman" w:cs="Times New Roman"/>
                <w:color w:val="000000"/>
                <w:sz w:val="20"/>
                <w:szCs w:val="20"/>
                <w:lang w:eastAsia="ro-RO"/>
              </w:rPr>
              <w:t xml:space="preserve">) din Legea energiei electrice și a gazelor naturale nr. 123/2012, cu modificările și completările ulterioare, operatorul de distribuție concesionar are obligația de a achiziționa acele componente ale rețelei care îi sunt strict </w:t>
            </w:r>
            <w:r w:rsidRPr="00066F52">
              <w:rPr>
                <w:rFonts w:ascii="Times New Roman" w:eastAsia="Times New Roman" w:hAnsi="Times New Roman" w:cs="Times New Roman"/>
                <w:color w:val="000000"/>
                <w:sz w:val="20"/>
                <w:szCs w:val="20"/>
                <w:lang w:eastAsia="ro-RO"/>
              </w:rPr>
              <w:lastRenderedPageBreak/>
              <w:t>necesare pentru prestarea serviciului, în condițiile în care nu a identificat o soluție de dezvoltare a rețelei în zonă a cărei realizare necesită costuri mai mici decât valoarea din oferta de vânzare.</w:t>
            </w:r>
          </w:p>
        </w:tc>
        <w:tc>
          <w:tcPr>
            <w:tcW w:w="670" w:type="pct"/>
            <w:tcBorders>
              <w:top w:val="nil"/>
              <w:left w:val="nil"/>
              <w:bottom w:val="single" w:sz="4" w:space="0" w:color="auto"/>
              <w:right w:val="single" w:sz="4" w:space="0" w:color="auto"/>
            </w:tcBorders>
            <w:shd w:val="clear" w:color="auto" w:fill="auto"/>
            <w:hideMark/>
          </w:tcPr>
          <w:p w14:paraId="580AF56C"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lastRenderedPageBreak/>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3776074D"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(1)</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Pentru asigurarea continuității serviciului de distribuție a energiei electrice pentru utilizatorii racordați la rețeaua electrică de distribuție ce face obiectul ofertei de vânzare propuse conform prevederilor art. 46 alin (2</w:t>
            </w:r>
            <w:r w:rsidRPr="00066F52">
              <w:rPr>
                <w:rFonts w:ascii="Times New Roman" w:eastAsia="Times New Roman" w:hAnsi="Times New Roman" w:cs="Times New Roman"/>
                <w:color w:val="000000"/>
                <w:sz w:val="20"/>
                <w:szCs w:val="20"/>
                <w:vertAlign w:val="superscript"/>
                <w:lang w:eastAsia="ro-RO"/>
              </w:rPr>
              <w:t>2</w:t>
            </w:r>
            <w:r w:rsidRPr="00066F52">
              <w:rPr>
                <w:rFonts w:ascii="Times New Roman" w:eastAsia="Times New Roman" w:hAnsi="Times New Roman" w:cs="Times New Roman"/>
                <w:color w:val="000000"/>
                <w:sz w:val="20"/>
                <w:szCs w:val="20"/>
                <w:lang w:eastAsia="ro-RO"/>
              </w:rPr>
              <w:t xml:space="preserve">) din Legea energiei electrice și a gazelor naturale nr. 123/2012, cu modificările și completările ulterioare, operatorul de distribuție concesionar </w:t>
            </w:r>
            <w:r w:rsidRPr="00066F52">
              <w:rPr>
                <w:rFonts w:ascii="Times New Roman" w:eastAsia="Times New Roman" w:hAnsi="Times New Roman" w:cs="Times New Roman"/>
                <w:strike/>
                <w:color w:val="000000"/>
                <w:sz w:val="20"/>
                <w:szCs w:val="20"/>
                <w:lang w:eastAsia="ro-RO"/>
              </w:rPr>
              <w:t>are obligația</w:t>
            </w:r>
            <w:r w:rsidRPr="00066F52">
              <w:rPr>
                <w:rFonts w:ascii="Times New Roman" w:eastAsia="Times New Roman" w:hAnsi="Times New Roman" w:cs="Times New Roman"/>
                <w:color w:val="000000"/>
                <w:sz w:val="20"/>
                <w:szCs w:val="20"/>
                <w:lang w:eastAsia="ro-RO"/>
              </w:rPr>
              <w:t xml:space="preserve"> </w:t>
            </w:r>
            <w:r w:rsidRPr="00066F52">
              <w:rPr>
                <w:rFonts w:ascii="Times New Roman" w:eastAsia="Times New Roman" w:hAnsi="Times New Roman" w:cs="Times New Roman"/>
                <w:strike/>
                <w:color w:val="000000"/>
                <w:sz w:val="20"/>
                <w:szCs w:val="20"/>
                <w:lang w:eastAsia="ro-RO"/>
              </w:rPr>
              <w:t>de a</w:t>
            </w:r>
            <w:r w:rsidRPr="00066F52">
              <w:rPr>
                <w:rFonts w:ascii="Times New Roman" w:eastAsia="Times New Roman" w:hAnsi="Times New Roman" w:cs="Times New Roman"/>
                <w:color w:val="000000"/>
                <w:sz w:val="20"/>
                <w:szCs w:val="20"/>
                <w:lang w:eastAsia="ro-RO"/>
              </w:rPr>
              <w:t xml:space="preserve"> </w:t>
            </w:r>
            <w:r w:rsidRPr="00066F52">
              <w:rPr>
                <w:rFonts w:ascii="Times New Roman" w:eastAsia="Times New Roman" w:hAnsi="Times New Roman" w:cs="Times New Roman"/>
                <w:color w:val="FF0000"/>
                <w:sz w:val="20"/>
                <w:szCs w:val="20"/>
                <w:lang w:eastAsia="ro-RO"/>
              </w:rPr>
              <w:t>achiziționează</w:t>
            </w:r>
            <w:r w:rsidRPr="00066F52">
              <w:rPr>
                <w:rFonts w:ascii="Times New Roman" w:eastAsia="Times New Roman" w:hAnsi="Times New Roman" w:cs="Times New Roman"/>
                <w:b/>
                <w:bCs/>
                <w:color w:val="FF0000"/>
                <w:sz w:val="20"/>
                <w:szCs w:val="20"/>
                <w:lang w:eastAsia="ro-RO"/>
              </w:rPr>
              <w:t xml:space="preserve"> </w:t>
            </w:r>
            <w:r w:rsidRPr="00066F52">
              <w:rPr>
                <w:rFonts w:ascii="Times New Roman" w:eastAsia="Times New Roman" w:hAnsi="Times New Roman" w:cs="Times New Roman"/>
                <w:color w:val="FF0000"/>
                <w:sz w:val="20"/>
                <w:szCs w:val="20"/>
                <w:lang w:eastAsia="ro-RO"/>
              </w:rPr>
              <w:t xml:space="preserve"> </w:t>
            </w:r>
            <w:r w:rsidRPr="00066F52">
              <w:rPr>
                <w:rFonts w:ascii="Times New Roman" w:eastAsia="Times New Roman" w:hAnsi="Times New Roman" w:cs="Times New Roman"/>
                <w:color w:val="000000"/>
                <w:sz w:val="20"/>
                <w:szCs w:val="20"/>
                <w:lang w:eastAsia="ro-RO"/>
              </w:rPr>
              <w:t xml:space="preserve">acele componente ale reţelei care îi sunt strict necesare pentru prestarea serviciului, în condițiile în care nu a identificat o soluție de dezvoltare a reţelei în zonǎ a cǎrei realizare necesită </w:t>
            </w:r>
            <w:r w:rsidRPr="00066F52">
              <w:rPr>
                <w:rFonts w:ascii="Times New Roman" w:eastAsia="Times New Roman" w:hAnsi="Times New Roman" w:cs="Times New Roman"/>
                <w:color w:val="000000"/>
                <w:sz w:val="20"/>
                <w:szCs w:val="20"/>
                <w:lang w:eastAsia="ro-RO"/>
              </w:rPr>
              <w:lastRenderedPageBreak/>
              <w:t>costuri mai mici decât valoarea din oferta de vânzare.</w:t>
            </w:r>
          </w:p>
        </w:tc>
        <w:tc>
          <w:tcPr>
            <w:tcW w:w="930" w:type="pct"/>
            <w:tcBorders>
              <w:top w:val="nil"/>
              <w:left w:val="nil"/>
              <w:bottom w:val="single" w:sz="4" w:space="0" w:color="auto"/>
              <w:right w:val="single" w:sz="4" w:space="0" w:color="auto"/>
            </w:tcBorders>
            <w:shd w:val="clear" w:color="auto" w:fill="auto"/>
            <w:hideMark/>
          </w:tcPr>
          <w:p w14:paraId="4602F15C"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lastRenderedPageBreak/>
              <w:t>OD justifica necesitatea preluarii capacitatilor energetice, pe baza datelor incluse in raportul preliminar depus de vanzator. Vanzatorul trebuie sa justifice eficienta tehnico-economica a retelei. OD identifica o solutie astfel incat lucrarea sa poata fi inclusa in planul de investitii.</w:t>
            </w:r>
          </w:p>
        </w:tc>
        <w:tc>
          <w:tcPr>
            <w:tcW w:w="790" w:type="pct"/>
            <w:tcBorders>
              <w:top w:val="nil"/>
              <w:left w:val="nil"/>
              <w:bottom w:val="single" w:sz="4" w:space="0" w:color="auto"/>
              <w:right w:val="single" w:sz="4" w:space="0" w:color="auto"/>
            </w:tcBorders>
            <w:shd w:val="clear" w:color="auto" w:fill="auto"/>
            <w:hideMark/>
          </w:tcPr>
          <w:p w14:paraId="79F22ED6" w14:textId="7979A650" w:rsidR="00066F52" w:rsidRPr="00066F52" w:rsidRDefault="00443920"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 xml:space="preserve">Se </w:t>
            </w:r>
            <w:r w:rsidR="00066F52" w:rsidRPr="00066F52">
              <w:rPr>
                <w:rFonts w:ascii="Times New Roman" w:eastAsia="Times New Roman" w:hAnsi="Times New Roman" w:cs="Times New Roman"/>
                <w:b/>
                <w:bCs/>
                <w:color w:val="000000"/>
                <w:sz w:val="20"/>
                <w:szCs w:val="20"/>
                <w:lang w:eastAsia="ro-RO"/>
              </w:rPr>
              <w:t>acceptă.</w:t>
            </w:r>
            <w:r w:rsidR="00066F52" w:rsidRPr="00066F52">
              <w:rPr>
                <w:rFonts w:ascii="Times New Roman" w:eastAsia="Times New Roman" w:hAnsi="Times New Roman" w:cs="Times New Roman"/>
                <w:b/>
                <w:bCs/>
                <w:color w:val="000000"/>
                <w:sz w:val="20"/>
                <w:szCs w:val="20"/>
                <w:lang w:eastAsia="ro-RO"/>
              </w:rPr>
              <w:br/>
            </w:r>
            <w:r>
              <w:rPr>
                <w:rFonts w:ascii="Times New Roman" w:eastAsia="Times New Roman" w:hAnsi="Times New Roman" w:cs="Times New Roman"/>
                <w:color w:val="000000"/>
                <w:sz w:val="20"/>
                <w:szCs w:val="20"/>
                <w:lang w:eastAsia="ro-RO"/>
              </w:rPr>
              <w:t>Se reformulează alineatul conform propunerii.</w:t>
            </w:r>
          </w:p>
        </w:tc>
      </w:tr>
      <w:tr w:rsidR="00066F52" w:rsidRPr="00066F52" w14:paraId="165929B8" w14:textId="77777777" w:rsidTr="00720795">
        <w:trPr>
          <w:trHeight w:val="3432"/>
        </w:trPr>
        <w:tc>
          <w:tcPr>
            <w:tcW w:w="245" w:type="pct"/>
            <w:tcBorders>
              <w:top w:val="nil"/>
              <w:left w:val="single" w:sz="4" w:space="0" w:color="auto"/>
              <w:bottom w:val="single" w:sz="4" w:space="0" w:color="auto"/>
              <w:right w:val="single" w:sz="4" w:space="0" w:color="auto"/>
            </w:tcBorders>
            <w:shd w:val="clear" w:color="auto" w:fill="auto"/>
            <w:hideMark/>
          </w:tcPr>
          <w:p w14:paraId="04610CA3"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35</w:t>
            </w:r>
          </w:p>
        </w:tc>
        <w:tc>
          <w:tcPr>
            <w:tcW w:w="265" w:type="pct"/>
            <w:vMerge/>
            <w:tcBorders>
              <w:top w:val="nil"/>
              <w:left w:val="single" w:sz="4" w:space="0" w:color="auto"/>
              <w:bottom w:val="single" w:sz="4" w:space="0" w:color="auto"/>
              <w:right w:val="single" w:sz="4" w:space="0" w:color="auto"/>
            </w:tcBorders>
            <w:vAlign w:val="center"/>
            <w:hideMark/>
          </w:tcPr>
          <w:p w14:paraId="1A2E70EE"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c>
          <w:tcPr>
            <w:tcW w:w="939" w:type="pct"/>
            <w:vMerge/>
            <w:tcBorders>
              <w:top w:val="nil"/>
              <w:left w:val="single" w:sz="4" w:space="0" w:color="auto"/>
              <w:bottom w:val="single" w:sz="4" w:space="0" w:color="auto"/>
              <w:right w:val="single" w:sz="4" w:space="0" w:color="auto"/>
            </w:tcBorders>
            <w:vAlign w:val="center"/>
            <w:hideMark/>
          </w:tcPr>
          <w:p w14:paraId="02AF1848"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p>
        </w:tc>
        <w:tc>
          <w:tcPr>
            <w:tcW w:w="670" w:type="pct"/>
            <w:tcBorders>
              <w:top w:val="nil"/>
              <w:left w:val="nil"/>
              <w:bottom w:val="single" w:sz="4" w:space="0" w:color="auto"/>
              <w:right w:val="single" w:sz="4" w:space="0" w:color="auto"/>
            </w:tcBorders>
            <w:shd w:val="clear" w:color="auto" w:fill="auto"/>
            <w:hideMark/>
          </w:tcPr>
          <w:p w14:paraId="12433004"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e-Distribuție</w:t>
            </w:r>
          </w:p>
        </w:tc>
        <w:tc>
          <w:tcPr>
            <w:tcW w:w="1161" w:type="pct"/>
            <w:tcBorders>
              <w:top w:val="nil"/>
              <w:left w:val="nil"/>
              <w:bottom w:val="single" w:sz="4" w:space="0" w:color="auto"/>
              <w:right w:val="single" w:sz="4" w:space="0" w:color="auto"/>
            </w:tcBorders>
            <w:shd w:val="clear" w:color="auto" w:fill="auto"/>
            <w:hideMark/>
          </w:tcPr>
          <w:p w14:paraId="3695C33A"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Nu se propune reformulare.</w:t>
            </w:r>
          </w:p>
        </w:tc>
        <w:tc>
          <w:tcPr>
            <w:tcW w:w="930" w:type="pct"/>
            <w:tcBorders>
              <w:top w:val="nil"/>
              <w:left w:val="nil"/>
              <w:bottom w:val="single" w:sz="4" w:space="0" w:color="auto"/>
              <w:right w:val="single" w:sz="4" w:space="0" w:color="auto"/>
            </w:tcBorders>
            <w:shd w:val="clear" w:color="auto" w:fill="auto"/>
            <w:hideMark/>
          </w:tcPr>
          <w:p w14:paraId="2A6F5446"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xml:space="preserve">In practica se intalnesc cazuri in care unele echipamente care fac parte integranta din reteaua ce face obiectul ofertei de vanzare-cumparare sunt intr-o stare avansata de uzura. In acest caz, OD poate negocia componentele achizitionate?   In masura in care metodologia va pastra posibilitatile de transfer existente (donatie, inchiriere, etc.), deci nu doar vanzare, asa cum se propune prin prezenta modificare, va fi necesara circumstantierea conditiei de stricta necesitate, daca exista un astfel de interes pentru OD. </w:t>
            </w:r>
          </w:p>
        </w:tc>
        <w:tc>
          <w:tcPr>
            <w:tcW w:w="790" w:type="pct"/>
            <w:tcBorders>
              <w:top w:val="nil"/>
              <w:left w:val="nil"/>
              <w:bottom w:val="single" w:sz="4" w:space="0" w:color="auto"/>
              <w:right w:val="single" w:sz="4" w:space="0" w:color="auto"/>
            </w:tcBorders>
            <w:shd w:val="clear" w:color="auto" w:fill="auto"/>
            <w:hideMark/>
          </w:tcPr>
          <w:p w14:paraId="0C00D0DB"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color w:val="000000"/>
                <w:sz w:val="20"/>
                <w:szCs w:val="20"/>
                <w:lang w:eastAsia="ro-RO"/>
              </w:rPr>
              <w:t xml:space="preserve">Alineatul are în vedere tocmai negocierea activelor care sunt </w:t>
            </w:r>
            <w:r w:rsidRPr="00066F52">
              <w:rPr>
                <w:rFonts w:ascii="Times New Roman" w:eastAsia="Times New Roman" w:hAnsi="Times New Roman" w:cs="Times New Roman"/>
                <w:b/>
                <w:bCs/>
                <w:color w:val="000000"/>
                <w:sz w:val="20"/>
                <w:szCs w:val="20"/>
                <w:lang w:eastAsia="ro-RO"/>
              </w:rPr>
              <w:t>strict necesare</w:t>
            </w:r>
            <w:r w:rsidRPr="00066F52">
              <w:rPr>
                <w:rFonts w:ascii="Times New Roman" w:eastAsia="Times New Roman" w:hAnsi="Times New Roman" w:cs="Times New Roman"/>
                <w:color w:val="000000"/>
                <w:sz w:val="20"/>
                <w:szCs w:val="20"/>
                <w:lang w:eastAsia="ro-RO"/>
              </w:rPr>
              <w:t xml:space="preserve"> pentru asigurarea continuității serviciului de distribuție a energie electrice pentru utilizatorii racordați. Această prevedere conferă ODC posibilitatea negocierii prețului activelor preluate întrucât obligația de preluare a serviciului impusă de lege vine din nevoia de a proteja utilizatorii racordați, nu din alt motiv.</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Metodologia nu are în vedere alte tipuri de preluare în afara celor prin vânzare-cumpărare.</w:t>
            </w:r>
          </w:p>
        </w:tc>
      </w:tr>
      <w:tr w:rsidR="00066F52" w:rsidRPr="00066F52" w14:paraId="197F9A32" w14:textId="77777777" w:rsidTr="00720795">
        <w:trPr>
          <w:trHeight w:val="2904"/>
        </w:trPr>
        <w:tc>
          <w:tcPr>
            <w:tcW w:w="245" w:type="pct"/>
            <w:tcBorders>
              <w:top w:val="nil"/>
              <w:left w:val="single" w:sz="4" w:space="0" w:color="auto"/>
              <w:bottom w:val="single" w:sz="4" w:space="0" w:color="auto"/>
              <w:right w:val="single" w:sz="4" w:space="0" w:color="auto"/>
            </w:tcBorders>
            <w:shd w:val="clear" w:color="auto" w:fill="auto"/>
            <w:hideMark/>
          </w:tcPr>
          <w:p w14:paraId="75A2283F"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lastRenderedPageBreak/>
              <w:t>36</w:t>
            </w:r>
          </w:p>
        </w:tc>
        <w:tc>
          <w:tcPr>
            <w:tcW w:w="265" w:type="pct"/>
            <w:tcBorders>
              <w:top w:val="nil"/>
              <w:left w:val="nil"/>
              <w:bottom w:val="single" w:sz="4" w:space="0" w:color="auto"/>
              <w:right w:val="single" w:sz="4" w:space="0" w:color="auto"/>
            </w:tcBorders>
            <w:shd w:val="clear" w:color="auto" w:fill="auto"/>
            <w:hideMark/>
          </w:tcPr>
          <w:p w14:paraId="68EEDFC3"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6</w:t>
            </w:r>
          </w:p>
        </w:tc>
        <w:tc>
          <w:tcPr>
            <w:tcW w:w="939" w:type="pct"/>
            <w:tcBorders>
              <w:top w:val="nil"/>
              <w:left w:val="nil"/>
              <w:bottom w:val="single" w:sz="4" w:space="0" w:color="auto"/>
              <w:right w:val="single" w:sz="4" w:space="0" w:color="auto"/>
            </w:tcBorders>
            <w:shd w:val="clear" w:color="auto" w:fill="auto"/>
            <w:hideMark/>
          </w:tcPr>
          <w:p w14:paraId="2F0B24D1"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670" w:type="pct"/>
            <w:tcBorders>
              <w:top w:val="nil"/>
              <w:left w:val="nil"/>
              <w:bottom w:val="single" w:sz="4" w:space="0" w:color="auto"/>
              <w:right w:val="single" w:sz="4" w:space="0" w:color="auto"/>
            </w:tcBorders>
            <w:shd w:val="clear" w:color="auto" w:fill="auto"/>
            <w:hideMark/>
          </w:tcPr>
          <w:p w14:paraId="59902BC2"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0AEB9669"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(1^1) În situaţia în care operatorul de distribuţie identifică o soluţie de dezvoltare a reţelei în zonă a cǎrei realizare necesită costuri mai mici decât valoarea din oferta de vânzare, pana la realizarea investitiei, dar nu mai mult de 12 luni, acesta va putea prelua în folosinţă gratuită în exploatare, retelele de distribuție pentru asigurarea continuității serviciului de distribuție a energiei electrice pentru utilizatorii racordați la capacitățile energetice propuse transferului;  OD poate refuza preluarea în cazul în care preluarea capacităților energetice nu este strict necesară și comunică acest refuz vânzătorului în maxim 60 de zile de la data notificării intenției de vânzare.</w:t>
            </w:r>
          </w:p>
        </w:tc>
        <w:tc>
          <w:tcPr>
            <w:tcW w:w="930" w:type="pct"/>
            <w:tcBorders>
              <w:top w:val="nil"/>
              <w:left w:val="nil"/>
              <w:bottom w:val="single" w:sz="4" w:space="0" w:color="auto"/>
              <w:right w:val="single" w:sz="4" w:space="0" w:color="auto"/>
            </w:tcBorders>
            <w:shd w:val="clear" w:color="auto" w:fill="auto"/>
            <w:hideMark/>
          </w:tcPr>
          <w:p w14:paraId="0AF5E0F6"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tcBorders>
              <w:top w:val="nil"/>
              <w:left w:val="nil"/>
              <w:bottom w:val="single" w:sz="4" w:space="0" w:color="auto"/>
              <w:right w:val="single" w:sz="4" w:space="0" w:color="auto"/>
            </w:tcBorders>
            <w:shd w:val="clear" w:color="auto" w:fill="auto"/>
            <w:hideMark/>
          </w:tcPr>
          <w:p w14:paraId="15C3F44B"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Preluarea în folosință gratuită până la apariția unei oferte de vânzare și perfectarea contractului de vânzare-cumpărare, este prevăzută de lege. Propunerea formulată pentru alin (1^1) vine în contradicție cu prevederile art. 46 alin (22) din Legea 123/2012 cu modificările și completările ulterioare.</w:t>
            </w:r>
          </w:p>
        </w:tc>
      </w:tr>
      <w:tr w:rsidR="00066F52" w:rsidRPr="00066F52" w14:paraId="18D855E8" w14:textId="77777777" w:rsidTr="00720795">
        <w:trPr>
          <w:trHeight w:val="3480"/>
        </w:trPr>
        <w:tc>
          <w:tcPr>
            <w:tcW w:w="245" w:type="pct"/>
            <w:tcBorders>
              <w:top w:val="nil"/>
              <w:left w:val="single" w:sz="4" w:space="0" w:color="auto"/>
              <w:bottom w:val="single" w:sz="4" w:space="0" w:color="auto"/>
              <w:right w:val="single" w:sz="4" w:space="0" w:color="auto"/>
            </w:tcBorders>
            <w:shd w:val="clear" w:color="auto" w:fill="auto"/>
            <w:hideMark/>
          </w:tcPr>
          <w:p w14:paraId="4F4B2570"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37</w:t>
            </w:r>
          </w:p>
        </w:tc>
        <w:tc>
          <w:tcPr>
            <w:tcW w:w="265" w:type="pct"/>
            <w:vMerge w:val="restart"/>
            <w:tcBorders>
              <w:top w:val="nil"/>
              <w:left w:val="single" w:sz="4" w:space="0" w:color="auto"/>
              <w:bottom w:val="single" w:sz="4" w:space="0" w:color="auto"/>
              <w:right w:val="single" w:sz="4" w:space="0" w:color="auto"/>
            </w:tcBorders>
            <w:shd w:val="clear" w:color="auto" w:fill="auto"/>
            <w:hideMark/>
          </w:tcPr>
          <w:p w14:paraId="10E81926"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6</w:t>
            </w:r>
          </w:p>
        </w:tc>
        <w:tc>
          <w:tcPr>
            <w:tcW w:w="939" w:type="pct"/>
            <w:vMerge w:val="restart"/>
            <w:tcBorders>
              <w:top w:val="nil"/>
              <w:left w:val="single" w:sz="4" w:space="0" w:color="auto"/>
              <w:bottom w:val="single" w:sz="4" w:space="0" w:color="auto"/>
              <w:right w:val="single" w:sz="4" w:space="0" w:color="auto"/>
            </w:tcBorders>
            <w:shd w:val="clear" w:color="auto" w:fill="auto"/>
            <w:hideMark/>
          </w:tcPr>
          <w:p w14:paraId="33198A04"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(2)</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Prețul contractului de vânzare-cumpărare se stabilește prin negociere între părți, pe baza valorii justificate a capacităților energetice de distribuție care urmează să fie achiziționate în condițiile prevăzute la alin. (1).</w:t>
            </w:r>
          </w:p>
        </w:tc>
        <w:tc>
          <w:tcPr>
            <w:tcW w:w="670" w:type="pct"/>
            <w:tcBorders>
              <w:top w:val="nil"/>
              <w:left w:val="nil"/>
              <w:bottom w:val="single" w:sz="4" w:space="0" w:color="auto"/>
              <w:right w:val="single" w:sz="4" w:space="0" w:color="auto"/>
            </w:tcBorders>
            <w:shd w:val="clear" w:color="auto" w:fill="auto"/>
            <w:hideMark/>
          </w:tcPr>
          <w:p w14:paraId="75D092AB"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OMV Petrom</w:t>
            </w:r>
          </w:p>
        </w:tc>
        <w:tc>
          <w:tcPr>
            <w:tcW w:w="1161" w:type="pct"/>
            <w:tcBorders>
              <w:top w:val="nil"/>
              <w:left w:val="nil"/>
              <w:bottom w:val="single" w:sz="4" w:space="0" w:color="auto"/>
              <w:right w:val="single" w:sz="4" w:space="0" w:color="auto"/>
            </w:tcBorders>
            <w:shd w:val="clear" w:color="auto" w:fill="auto"/>
            <w:hideMark/>
          </w:tcPr>
          <w:p w14:paraId="5D979471"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xml:space="preserve">(2) Prețul contractului de vânzare-cumpărare </w:t>
            </w:r>
            <w:r w:rsidRPr="00066F52">
              <w:rPr>
                <w:rFonts w:ascii="Times New Roman" w:eastAsia="Times New Roman" w:hAnsi="Times New Roman" w:cs="Times New Roman"/>
                <w:b/>
                <w:bCs/>
                <w:color w:val="7030A0"/>
                <w:lang w:eastAsia="ro-RO"/>
              </w:rPr>
              <w:t>este egal cu</w:t>
            </w:r>
            <w:r w:rsidRPr="00066F52">
              <w:rPr>
                <w:rFonts w:ascii="Times New Roman" w:eastAsia="Times New Roman" w:hAnsi="Times New Roman" w:cs="Times New Roman"/>
                <w:color w:val="7030A0"/>
                <w:lang w:eastAsia="ro-RO"/>
              </w:rPr>
              <w:t xml:space="preserve"> </w:t>
            </w:r>
            <w:r w:rsidRPr="00066F52">
              <w:rPr>
                <w:rFonts w:ascii="Times New Roman" w:eastAsia="Times New Roman" w:hAnsi="Times New Roman" w:cs="Times New Roman"/>
                <w:strike/>
                <w:color w:val="000000"/>
                <w:lang w:eastAsia="ro-RO"/>
              </w:rPr>
              <w:t>se stabileşte prin negociere între părți, pe baza</w:t>
            </w:r>
            <w:r w:rsidRPr="00066F52">
              <w:rPr>
                <w:rFonts w:ascii="Times New Roman" w:eastAsia="Times New Roman" w:hAnsi="Times New Roman" w:cs="Times New Roman"/>
                <w:color w:val="000000"/>
                <w:lang w:eastAsia="ro-RO"/>
              </w:rPr>
              <w:t xml:space="preserve"> </w:t>
            </w:r>
            <w:r w:rsidRPr="00066F52">
              <w:rPr>
                <w:rFonts w:ascii="Times New Roman" w:eastAsia="Times New Roman" w:hAnsi="Times New Roman" w:cs="Times New Roman"/>
                <w:color w:val="7030A0"/>
                <w:lang w:eastAsia="ro-RO"/>
              </w:rPr>
              <w:t>valoarea</w:t>
            </w:r>
            <w:r w:rsidRPr="00066F52">
              <w:rPr>
                <w:rFonts w:ascii="Times New Roman" w:eastAsia="Times New Roman" w:hAnsi="Times New Roman" w:cs="Times New Roman"/>
                <w:strike/>
                <w:color w:val="000000"/>
                <w:lang w:eastAsia="ro-RO"/>
              </w:rPr>
              <w:t>rii</w:t>
            </w:r>
            <w:r w:rsidRPr="00066F52">
              <w:rPr>
                <w:rFonts w:ascii="Times New Roman" w:eastAsia="Times New Roman" w:hAnsi="Times New Roman" w:cs="Times New Roman"/>
                <w:color w:val="000000"/>
                <w:lang w:eastAsia="ro-RO"/>
              </w:rPr>
              <w:t xml:space="preserve"> </w:t>
            </w:r>
            <w:r w:rsidRPr="00066F52">
              <w:rPr>
                <w:rFonts w:ascii="Times New Roman" w:eastAsia="Times New Roman" w:hAnsi="Times New Roman" w:cs="Times New Roman"/>
                <w:color w:val="7030A0"/>
                <w:lang w:eastAsia="ro-RO"/>
              </w:rPr>
              <w:t>justificată</w:t>
            </w:r>
            <w:r w:rsidRPr="00066F52">
              <w:rPr>
                <w:rFonts w:ascii="Times New Roman" w:eastAsia="Times New Roman" w:hAnsi="Times New Roman" w:cs="Times New Roman"/>
                <w:strike/>
                <w:color w:val="000000"/>
                <w:lang w:eastAsia="ro-RO"/>
              </w:rPr>
              <w:t>e</w:t>
            </w:r>
            <w:r w:rsidRPr="00066F52">
              <w:rPr>
                <w:rFonts w:ascii="Times New Roman" w:eastAsia="Times New Roman" w:hAnsi="Times New Roman" w:cs="Times New Roman"/>
                <w:color w:val="000000"/>
                <w:lang w:eastAsia="ro-RO"/>
              </w:rPr>
              <w:t xml:space="preserve"> a capacităților energetice de distribuție care urmează să fie achiziționate în condițiile prevăzute la alin. (1).</w:t>
            </w:r>
          </w:p>
        </w:tc>
        <w:tc>
          <w:tcPr>
            <w:tcW w:w="930" w:type="pct"/>
            <w:tcBorders>
              <w:top w:val="nil"/>
              <w:left w:val="nil"/>
              <w:bottom w:val="single" w:sz="4" w:space="0" w:color="auto"/>
              <w:right w:val="single" w:sz="4" w:space="0" w:color="auto"/>
            </w:tcBorders>
            <w:shd w:val="clear" w:color="auto" w:fill="auto"/>
            <w:hideMark/>
          </w:tcPr>
          <w:p w14:paraId="1B26A9AA"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conformarea cu prevederile art. 46 alin. (2</w:t>
            </w:r>
            <w:r w:rsidRPr="00066F52">
              <w:rPr>
                <w:rFonts w:ascii="Times New Roman" w:eastAsia="Times New Roman" w:hAnsi="Times New Roman" w:cs="Times New Roman"/>
                <w:color w:val="000000"/>
                <w:vertAlign w:val="superscript"/>
                <w:lang w:eastAsia="ro-RO"/>
              </w:rPr>
              <w:t>2</w:t>
            </w:r>
            <w:r w:rsidRPr="00066F52">
              <w:rPr>
                <w:rFonts w:ascii="Times New Roman" w:eastAsia="Times New Roman" w:hAnsi="Times New Roman" w:cs="Times New Roman"/>
                <w:color w:val="000000"/>
                <w:lang w:eastAsia="ro-RO"/>
              </w:rPr>
              <w:t xml:space="preserve">) care prevede ca: „... </w:t>
            </w:r>
            <w:r w:rsidRPr="00066F52">
              <w:rPr>
                <w:rFonts w:ascii="Times New Roman" w:eastAsia="Times New Roman" w:hAnsi="Times New Roman" w:cs="Times New Roman"/>
                <w:i/>
                <w:iCs/>
                <w:color w:val="000000"/>
                <w:lang w:eastAsia="ro-RO"/>
              </w:rPr>
              <w:t>acesta  are obligaţia de a face o ofertă de vânzare operatorului de distribuţie concesionar, la o valoare justificată a acesteia, certificată de un expert autorizat independent, iar operatorul de distribuție concesionar are obligaţia de a o achiziţiona în termen de 120  de zile de la data comunicării valorii de achiziție certificate.</w:t>
            </w:r>
            <w:r w:rsidRPr="00066F52">
              <w:rPr>
                <w:rFonts w:ascii="Times New Roman" w:eastAsia="Times New Roman" w:hAnsi="Times New Roman" w:cs="Times New Roman"/>
                <w:color w:val="000000"/>
                <w:lang w:eastAsia="ro-RO"/>
              </w:rPr>
              <w:t xml:space="preserve">” </w:t>
            </w:r>
          </w:p>
        </w:tc>
        <w:tc>
          <w:tcPr>
            <w:tcW w:w="790" w:type="pct"/>
            <w:tcBorders>
              <w:top w:val="nil"/>
              <w:left w:val="nil"/>
              <w:bottom w:val="single" w:sz="4" w:space="0" w:color="auto"/>
              <w:right w:val="single" w:sz="4" w:space="0" w:color="auto"/>
            </w:tcBorders>
            <w:shd w:val="clear" w:color="auto" w:fill="auto"/>
            <w:hideMark/>
          </w:tcPr>
          <w:p w14:paraId="3547A6D7"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Prevederea art. 46 alin. (2</w:t>
            </w:r>
            <w:r w:rsidRPr="00066F52">
              <w:rPr>
                <w:rFonts w:ascii="Times New Roman" w:eastAsia="Times New Roman" w:hAnsi="Times New Roman" w:cs="Times New Roman"/>
                <w:color w:val="000000"/>
                <w:sz w:val="20"/>
                <w:szCs w:val="20"/>
                <w:vertAlign w:val="superscript"/>
                <w:lang w:eastAsia="ro-RO"/>
              </w:rPr>
              <w:t>2</w:t>
            </w:r>
            <w:r w:rsidRPr="00066F52">
              <w:rPr>
                <w:rFonts w:ascii="Times New Roman" w:eastAsia="Times New Roman" w:hAnsi="Times New Roman" w:cs="Times New Roman"/>
                <w:color w:val="000000"/>
                <w:sz w:val="20"/>
                <w:szCs w:val="20"/>
                <w:lang w:eastAsia="ro-RO"/>
              </w:rPr>
              <w:t xml:space="preserve">) nu anulează prevedere art. 44 alin. (6): „Reţelele electrice de distribuţie se dezvoltă pe baza principiilor de eficienţă economică...”  Pe de altă parte, preluarea unor asemenea capacități energetice de distribuție de către ODC se face cu scopul asigurării continuității serviciului de distribuție pentru utilizatorii racordați la acele rețele. Prin urmare, preluarea activelor de către ODC trebuie să respecte toate prevederile legale, inclusiv pe cele </w:t>
            </w:r>
            <w:r w:rsidRPr="00066F52">
              <w:rPr>
                <w:rFonts w:ascii="Times New Roman" w:eastAsia="Times New Roman" w:hAnsi="Times New Roman" w:cs="Times New Roman"/>
                <w:color w:val="000000"/>
                <w:sz w:val="20"/>
                <w:szCs w:val="20"/>
                <w:lang w:eastAsia="ro-RO"/>
              </w:rPr>
              <w:lastRenderedPageBreak/>
              <w:t>legate de eficiența economică..</w:t>
            </w:r>
          </w:p>
        </w:tc>
      </w:tr>
      <w:tr w:rsidR="00066F52" w:rsidRPr="00066F52" w14:paraId="079502B7" w14:textId="77777777" w:rsidTr="00720795">
        <w:trPr>
          <w:trHeight w:val="1656"/>
        </w:trPr>
        <w:tc>
          <w:tcPr>
            <w:tcW w:w="245" w:type="pct"/>
            <w:tcBorders>
              <w:top w:val="nil"/>
              <w:left w:val="single" w:sz="4" w:space="0" w:color="auto"/>
              <w:bottom w:val="single" w:sz="4" w:space="0" w:color="auto"/>
              <w:right w:val="single" w:sz="4" w:space="0" w:color="auto"/>
            </w:tcBorders>
            <w:shd w:val="clear" w:color="auto" w:fill="auto"/>
            <w:hideMark/>
          </w:tcPr>
          <w:p w14:paraId="3E6469EA"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lastRenderedPageBreak/>
              <w:t>38</w:t>
            </w:r>
          </w:p>
        </w:tc>
        <w:tc>
          <w:tcPr>
            <w:tcW w:w="265" w:type="pct"/>
            <w:vMerge/>
            <w:tcBorders>
              <w:top w:val="nil"/>
              <w:left w:val="single" w:sz="4" w:space="0" w:color="auto"/>
              <w:bottom w:val="single" w:sz="4" w:space="0" w:color="auto"/>
              <w:right w:val="single" w:sz="4" w:space="0" w:color="auto"/>
            </w:tcBorders>
            <w:vAlign w:val="center"/>
            <w:hideMark/>
          </w:tcPr>
          <w:p w14:paraId="2D401E89"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c>
          <w:tcPr>
            <w:tcW w:w="939" w:type="pct"/>
            <w:vMerge/>
            <w:tcBorders>
              <w:top w:val="nil"/>
              <w:left w:val="single" w:sz="4" w:space="0" w:color="auto"/>
              <w:bottom w:val="single" w:sz="4" w:space="0" w:color="auto"/>
              <w:right w:val="single" w:sz="4" w:space="0" w:color="auto"/>
            </w:tcBorders>
            <w:vAlign w:val="center"/>
            <w:hideMark/>
          </w:tcPr>
          <w:p w14:paraId="0FE03029"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p>
        </w:tc>
        <w:tc>
          <w:tcPr>
            <w:tcW w:w="670" w:type="pct"/>
            <w:tcBorders>
              <w:top w:val="nil"/>
              <w:left w:val="nil"/>
              <w:bottom w:val="single" w:sz="4" w:space="0" w:color="auto"/>
              <w:right w:val="single" w:sz="4" w:space="0" w:color="auto"/>
            </w:tcBorders>
            <w:shd w:val="clear" w:color="auto" w:fill="auto"/>
            <w:hideMark/>
          </w:tcPr>
          <w:p w14:paraId="26A445D3"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e-Distribuție</w:t>
            </w:r>
          </w:p>
        </w:tc>
        <w:tc>
          <w:tcPr>
            <w:tcW w:w="1161" w:type="pct"/>
            <w:tcBorders>
              <w:top w:val="nil"/>
              <w:left w:val="nil"/>
              <w:bottom w:val="single" w:sz="4" w:space="0" w:color="auto"/>
              <w:right w:val="single" w:sz="4" w:space="0" w:color="auto"/>
            </w:tcBorders>
            <w:shd w:val="clear" w:color="auto" w:fill="auto"/>
            <w:hideMark/>
          </w:tcPr>
          <w:p w14:paraId="07177A96"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xml:space="preserve">(2) Prețul contractului de vânzare-cumpărare se stabileşte pe baza negociereii între părți, pe baza valorii justificate a capacităților energetice de distribuție care urmează să fie achiziționate în condițiile prevăzute la alin. (1), </w:t>
            </w:r>
            <w:r w:rsidRPr="00066F52">
              <w:rPr>
                <w:rFonts w:ascii="Times New Roman" w:eastAsia="Times New Roman" w:hAnsi="Times New Roman" w:cs="Times New Roman"/>
                <w:color w:val="FF0000"/>
                <w:lang w:eastAsia="ro-RO"/>
              </w:rPr>
              <w:t>valoarea maximă permisă a fi solicitată/platită fiind cea certificată de un expert autorizat independent  conform art. 5.</w:t>
            </w:r>
          </w:p>
        </w:tc>
        <w:tc>
          <w:tcPr>
            <w:tcW w:w="930" w:type="pct"/>
            <w:tcBorders>
              <w:top w:val="nil"/>
              <w:left w:val="nil"/>
              <w:bottom w:val="single" w:sz="4" w:space="0" w:color="auto"/>
              <w:right w:val="single" w:sz="4" w:space="0" w:color="auto"/>
            </w:tcBorders>
            <w:shd w:val="clear" w:color="auto" w:fill="auto"/>
            <w:hideMark/>
          </w:tcPr>
          <w:p w14:paraId="2AC6722F"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Aceasta este cerinta legala conform art 46 alin (22).   Costurile acestei certificari sunt in sarcina vanzatorului, fiind in sarcina expertului sa certifice un pret in baza valorii contabile a mijloacelor fixe si a altor criterii tehnice.</w:t>
            </w:r>
          </w:p>
        </w:tc>
        <w:tc>
          <w:tcPr>
            <w:tcW w:w="790" w:type="pct"/>
            <w:tcBorders>
              <w:top w:val="nil"/>
              <w:left w:val="nil"/>
              <w:bottom w:val="single" w:sz="4" w:space="0" w:color="auto"/>
              <w:right w:val="single" w:sz="4" w:space="0" w:color="auto"/>
            </w:tcBorders>
            <w:shd w:val="clear" w:color="auto" w:fill="auto"/>
            <w:hideMark/>
          </w:tcPr>
          <w:p w14:paraId="1A173690"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 xml:space="preserve">Nu se acceptă </w:t>
            </w:r>
            <w:r w:rsidRPr="00066F52">
              <w:rPr>
                <w:rFonts w:ascii="Times New Roman" w:eastAsia="Times New Roman" w:hAnsi="Times New Roman" w:cs="Times New Roman"/>
                <w:color w:val="000000"/>
                <w:sz w:val="20"/>
                <w:szCs w:val="20"/>
                <w:lang w:eastAsia="ro-RO"/>
              </w:rPr>
              <w:t>.</w:t>
            </w:r>
            <w:r w:rsidRPr="00066F52">
              <w:rPr>
                <w:rFonts w:ascii="Times New Roman" w:eastAsia="Times New Roman" w:hAnsi="Times New Roman" w:cs="Times New Roman"/>
                <w:color w:val="000000"/>
                <w:sz w:val="20"/>
                <w:szCs w:val="20"/>
                <w:lang w:eastAsia="ro-RO"/>
              </w:rPr>
              <w:br/>
              <w:t>Completarea nu e necesară întrucât prețul contractului are la bază valoarea justificată conform prevederilor legii (v. art. 3).</w:t>
            </w:r>
          </w:p>
        </w:tc>
      </w:tr>
      <w:tr w:rsidR="00066F52" w:rsidRPr="00066F52" w14:paraId="32447955" w14:textId="77777777" w:rsidTr="00720795">
        <w:trPr>
          <w:trHeight w:val="4752"/>
        </w:trPr>
        <w:tc>
          <w:tcPr>
            <w:tcW w:w="245" w:type="pct"/>
            <w:tcBorders>
              <w:top w:val="nil"/>
              <w:left w:val="single" w:sz="4" w:space="0" w:color="auto"/>
              <w:bottom w:val="single" w:sz="4" w:space="0" w:color="auto"/>
              <w:right w:val="single" w:sz="4" w:space="0" w:color="auto"/>
            </w:tcBorders>
            <w:shd w:val="clear" w:color="auto" w:fill="auto"/>
            <w:hideMark/>
          </w:tcPr>
          <w:p w14:paraId="7A95D622"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lastRenderedPageBreak/>
              <w:t>39</w:t>
            </w:r>
          </w:p>
        </w:tc>
        <w:tc>
          <w:tcPr>
            <w:tcW w:w="265" w:type="pct"/>
            <w:vMerge w:val="restart"/>
            <w:tcBorders>
              <w:top w:val="nil"/>
              <w:left w:val="single" w:sz="4" w:space="0" w:color="auto"/>
              <w:bottom w:val="single" w:sz="4" w:space="0" w:color="auto"/>
              <w:right w:val="single" w:sz="4" w:space="0" w:color="auto"/>
            </w:tcBorders>
            <w:shd w:val="clear" w:color="auto" w:fill="auto"/>
            <w:hideMark/>
          </w:tcPr>
          <w:p w14:paraId="6144C445"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6</w:t>
            </w:r>
          </w:p>
        </w:tc>
        <w:tc>
          <w:tcPr>
            <w:tcW w:w="939" w:type="pct"/>
            <w:vMerge w:val="restart"/>
            <w:tcBorders>
              <w:top w:val="nil"/>
              <w:left w:val="single" w:sz="4" w:space="0" w:color="auto"/>
              <w:bottom w:val="single" w:sz="4" w:space="0" w:color="auto"/>
              <w:right w:val="single" w:sz="4" w:space="0" w:color="auto"/>
            </w:tcBorders>
            <w:shd w:val="clear" w:color="auto" w:fill="auto"/>
            <w:hideMark/>
          </w:tcPr>
          <w:p w14:paraId="262A76E4"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(3)</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Prețul contractului nu depășește valoarea netă contabilă a activelor respective de la data ofertei de vânzare, dacă persoana care vinde capacitățile energetice de distribuție are obligația legală de a ține contabilitatea mijloacelor fixe.</w:t>
            </w:r>
          </w:p>
        </w:tc>
        <w:tc>
          <w:tcPr>
            <w:tcW w:w="670" w:type="pct"/>
            <w:tcBorders>
              <w:top w:val="nil"/>
              <w:left w:val="nil"/>
              <w:bottom w:val="single" w:sz="4" w:space="0" w:color="auto"/>
              <w:right w:val="single" w:sz="4" w:space="0" w:color="auto"/>
            </w:tcBorders>
            <w:shd w:val="clear" w:color="auto" w:fill="auto"/>
            <w:hideMark/>
          </w:tcPr>
          <w:p w14:paraId="461FCAEA"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OMV Petrom</w:t>
            </w:r>
          </w:p>
        </w:tc>
        <w:tc>
          <w:tcPr>
            <w:tcW w:w="1161" w:type="pct"/>
            <w:tcBorders>
              <w:top w:val="nil"/>
              <w:left w:val="nil"/>
              <w:bottom w:val="single" w:sz="4" w:space="0" w:color="auto"/>
              <w:right w:val="single" w:sz="4" w:space="0" w:color="auto"/>
            </w:tcBorders>
            <w:shd w:val="clear" w:color="auto" w:fill="auto"/>
            <w:hideMark/>
          </w:tcPr>
          <w:p w14:paraId="4CB854CA" w14:textId="77777777" w:rsidR="00066F52" w:rsidRPr="00066F52" w:rsidRDefault="00066F52" w:rsidP="00066F52">
            <w:pPr>
              <w:spacing w:after="0" w:line="240" w:lineRule="auto"/>
              <w:rPr>
                <w:rFonts w:ascii="Times New Roman" w:eastAsia="Times New Roman" w:hAnsi="Times New Roman" w:cs="Times New Roman"/>
                <w:color w:val="7030A0"/>
                <w:lang w:eastAsia="ro-RO"/>
              </w:rPr>
            </w:pPr>
            <w:r w:rsidRPr="00066F52">
              <w:rPr>
                <w:rFonts w:ascii="Times New Roman" w:eastAsia="Times New Roman" w:hAnsi="Times New Roman" w:cs="Times New Roman"/>
                <w:color w:val="7030A0"/>
                <w:lang w:eastAsia="ro-RO"/>
              </w:rPr>
              <w:t>Eliminare</w:t>
            </w:r>
          </w:p>
        </w:tc>
        <w:tc>
          <w:tcPr>
            <w:tcW w:w="930" w:type="pct"/>
            <w:tcBorders>
              <w:top w:val="nil"/>
              <w:left w:val="nil"/>
              <w:bottom w:val="single" w:sz="4" w:space="0" w:color="auto"/>
              <w:right w:val="single" w:sz="4" w:space="0" w:color="auto"/>
            </w:tcBorders>
            <w:shd w:val="clear" w:color="auto" w:fill="auto"/>
            <w:hideMark/>
          </w:tcPr>
          <w:p w14:paraId="5699A4CB"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Conformarea cu prevederile art. 46 (2</w:t>
            </w:r>
            <w:r w:rsidRPr="00066F52">
              <w:rPr>
                <w:rFonts w:ascii="Times New Roman" w:eastAsia="Times New Roman" w:hAnsi="Times New Roman" w:cs="Times New Roman"/>
                <w:color w:val="000000"/>
                <w:sz w:val="20"/>
                <w:szCs w:val="20"/>
                <w:vertAlign w:val="superscript"/>
                <w:lang w:eastAsia="ro-RO"/>
              </w:rPr>
              <w:t>2</w:t>
            </w:r>
            <w:r w:rsidRPr="00066F52">
              <w:rPr>
                <w:rFonts w:ascii="Times New Roman" w:eastAsia="Times New Roman" w:hAnsi="Times New Roman" w:cs="Times New Roman"/>
                <w:color w:val="000000"/>
                <w:sz w:val="20"/>
                <w:szCs w:val="20"/>
                <w:lang w:eastAsia="ro-RO"/>
              </w:rPr>
              <w:t>) din Legea 155/2020 care dă dreptul celui care transferă capacități energetice de distribuție de a putea primi din partea operatorului de distribuție concesionar o valoare posibil mai mare decât valoarea netă contabilă; totodată apreciem că ANRE nu poate impune o limitarea a prețului de vânzare deoarece nu are atribuții de reglementare a acestuia; prevederile de la art.46 (2</w:t>
            </w:r>
            <w:r w:rsidRPr="00066F52">
              <w:rPr>
                <w:rFonts w:ascii="Times New Roman" w:eastAsia="Times New Roman" w:hAnsi="Times New Roman" w:cs="Times New Roman"/>
                <w:color w:val="000000"/>
                <w:sz w:val="20"/>
                <w:szCs w:val="20"/>
                <w:vertAlign w:val="superscript"/>
                <w:lang w:eastAsia="ro-RO"/>
              </w:rPr>
              <w:t>2</w:t>
            </w:r>
            <w:r w:rsidRPr="00066F52">
              <w:rPr>
                <w:rFonts w:ascii="Times New Roman" w:eastAsia="Times New Roman" w:hAnsi="Times New Roman" w:cs="Times New Roman"/>
                <w:color w:val="000000"/>
                <w:sz w:val="20"/>
                <w:szCs w:val="20"/>
                <w:lang w:eastAsia="ro-RO"/>
              </w:rPr>
              <w:t xml:space="preserve"> ) nu condiționează aplicarea valorii justificate, certificate de un expert autorizat independent, de obligația legală de a ține sau nu contabilitatea mijloacelor fixe; apreciem că ANRE nu poate impune operatorului de distribuție care vinde să divulge  cumpărătorului informațiile prevăzute la art.9, alin. (1) lit. a) punctele de la 3 la 5.</w:t>
            </w:r>
          </w:p>
        </w:tc>
        <w:tc>
          <w:tcPr>
            <w:tcW w:w="790" w:type="pct"/>
            <w:tcBorders>
              <w:top w:val="nil"/>
              <w:left w:val="nil"/>
              <w:bottom w:val="single" w:sz="4" w:space="0" w:color="auto"/>
              <w:right w:val="single" w:sz="4" w:space="0" w:color="auto"/>
            </w:tcBorders>
            <w:shd w:val="clear" w:color="auto" w:fill="auto"/>
            <w:hideMark/>
          </w:tcPr>
          <w:p w14:paraId="5F53F0A9"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4A4067">
              <w:rPr>
                <w:rFonts w:ascii="Times New Roman" w:eastAsia="Times New Roman" w:hAnsi="Times New Roman" w:cs="Times New Roman"/>
                <w:color w:val="000000"/>
                <w:sz w:val="20"/>
                <w:szCs w:val="20"/>
                <w:lang w:eastAsia="ro-RO"/>
              </w:rPr>
              <w:t>Preluarea capacităților energetice de</w:t>
            </w:r>
            <w:r w:rsidRPr="00066F52">
              <w:rPr>
                <w:rFonts w:ascii="Times New Roman" w:eastAsia="Times New Roman" w:hAnsi="Times New Roman" w:cs="Times New Roman"/>
                <w:b/>
                <w:bCs/>
                <w:color w:val="000000"/>
                <w:sz w:val="20"/>
                <w:szCs w:val="20"/>
                <w:lang w:eastAsia="ro-RO"/>
              </w:rPr>
              <w:t xml:space="preserve"> </w:t>
            </w:r>
            <w:r w:rsidRPr="00066F52">
              <w:rPr>
                <w:rFonts w:ascii="Times New Roman" w:eastAsia="Times New Roman" w:hAnsi="Times New Roman" w:cs="Times New Roman"/>
                <w:color w:val="000000"/>
                <w:sz w:val="20"/>
                <w:szCs w:val="20"/>
                <w:lang w:eastAsia="ro-RO"/>
              </w:rPr>
              <w:t xml:space="preserve">distribuție reglementată prin Metodologie se subsumează activităților ODC din sfera investițiilor efectuate pentru prestarea serviciului de distribuție a energiei electrice către utilizatori.  Această activitate influențează direct tarifele pentru serviciul de distribuție a energiei electrice reglementate, fundamentate pe costuri justificate, domeniu care este strict de competența ANRE. </w:t>
            </w:r>
            <w:r w:rsidRPr="00066F52">
              <w:rPr>
                <w:rFonts w:ascii="Times New Roman" w:eastAsia="Times New Roman" w:hAnsi="Times New Roman" w:cs="Times New Roman"/>
                <w:color w:val="000000"/>
                <w:sz w:val="20"/>
                <w:szCs w:val="20"/>
                <w:lang w:eastAsia="ro-RO"/>
              </w:rPr>
              <w:br/>
              <w:t>ANRE nu impune operatorului care vinde să divulge informații, dar reglementează, conform competențelor sale, pentru ODC în vederea realizării de investiții în condiții de eficiență economică.</w:t>
            </w:r>
            <w:r w:rsidRPr="00066F52">
              <w:rPr>
                <w:rFonts w:ascii="Times New Roman" w:eastAsia="Times New Roman" w:hAnsi="Times New Roman" w:cs="Times New Roman"/>
                <w:b/>
                <w:bCs/>
                <w:color w:val="000000"/>
                <w:sz w:val="20"/>
                <w:szCs w:val="20"/>
                <w:lang w:eastAsia="ro-RO"/>
              </w:rPr>
              <w:t xml:space="preserve"> </w:t>
            </w:r>
            <w:r w:rsidRPr="00066F52">
              <w:rPr>
                <w:rFonts w:ascii="Times New Roman" w:eastAsia="Times New Roman" w:hAnsi="Times New Roman" w:cs="Times New Roman"/>
                <w:color w:val="000000"/>
                <w:sz w:val="20"/>
                <w:szCs w:val="20"/>
                <w:lang w:eastAsia="ro-RO"/>
              </w:rPr>
              <w:t>Se reformulează art. 9 în sensul eliminării obhligației vânzătorului de a pune la dispoziție date contabile.</w:t>
            </w:r>
          </w:p>
        </w:tc>
      </w:tr>
      <w:tr w:rsidR="00066F52" w:rsidRPr="00066F52" w14:paraId="17A4A559" w14:textId="77777777" w:rsidTr="00720795">
        <w:trPr>
          <w:trHeight w:val="1848"/>
        </w:trPr>
        <w:tc>
          <w:tcPr>
            <w:tcW w:w="245" w:type="pct"/>
            <w:tcBorders>
              <w:top w:val="nil"/>
              <w:left w:val="single" w:sz="4" w:space="0" w:color="auto"/>
              <w:bottom w:val="single" w:sz="4" w:space="0" w:color="auto"/>
              <w:right w:val="single" w:sz="4" w:space="0" w:color="auto"/>
            </w:tcBorders>
            <w:shd w:val="clear" w:color="auto" w:fill="auto"/>
            <w:hideMark/>
          </w:tcPr>
          <w:p w14:paraId="07EF87FA"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lastRenderedPageBreak/>
              <w:t>40</w:t>
            </w:r>
          </w:p>
        </w:tc>
        <w:tc>
          <w:tcPr>
            <w:tcW w:w="265" w:type="pct"/>
            <w:vMerge/>
            <w:tcBorders>
              <w:top w:val="nil"/>
              <w:left w:val="single" w:sz="4" w:space="0" w:color="auto"/>
              <w:bottom w:val="single" w:sz="4" w:space="0" w:color="auto"/>
              <w:right w:val="single" w:sz="4" w:space="0" w:color="auto"/>
            </w:tcBorders>
            <w:vAlign w:val="center"/>
            <w:hideMark/>
          </w:tcPr>
          <w:p w14:paraId="0B4029FC"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c>
          <w:tcPr>
            <w:tcW w:w="939" w:type="pct"/>
            <w:vMerge/>
            <w:tcBorders>
              <w:top w:val="nil"/>
              <w:left w:val="single" w:sz="4" w:space="0" w:color="auto"/>
              <w:bottom w:val="single" w:sz="4" w:space="0" w:color="auto"/>
              <w:right w:val="single" w:sz="4" w:space="0" w:color="auto"/>
            </w:tcBorders>
            <w:vAlign w:val="center"/>
            <w:hideMark/>
          </w:tcPr>
          <w:p w14:paraId="379769CF"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p>
        </w:tc>
        <w:tc>
          <w:tcPr>
            <w:tcW w:w="670" w:type="pct"/>
            <w:tcBorders>
              <w:top w:val="nil"/>
              <w:left w:val="nil"/>
              <w:bottom w:val="single" w:sz="4" w:space="0" w:color="auto"/>
              <w:right w:val="single" w:sz="4" w:space="0" w:color="auto"/>
            </w:tcBorders>
            <w:shd w:val="clear" w:color="auto" w:fill="auto"/>
            <w:hideMark/>
          </w:tcPr>
          <w:p w14:paraId="46C30C0E"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e-Distribuție</w:t>
            </w:r>
          </w:p>
        </w:tc>
        <w:tc>
          <w:tcPr>
            <w:tcW w:w="1161" w:type="pct"/>
            <w:tcBorders>
              <w:top w:val="nil"/>
              <w:left w:val="nil"/>
              <w:bottom w:val="single" w:sz="4" w:space="0" w:color="auto"/>
              <w:right w:val="single" w:sz="4" w:space="0" w:color="auto"/>
            </w:tcBorders>
            <w:shd w:val="clear" w:color="auto" w:fill="auto"/>
            <w:hideMark/>
          </w:tcPr>
          <w:p w14:paraId="43B25778" w14:textId="77777777" w:rsidR="00066F52" w:rsidRPr="00066F52" w:rsidRDefault="00066F52" w:rsidP="00066F52">
            <w:pPr>
              <w:spacing w:after="0" w:line="240" w:lineRule="auto"/>
              <w:rPr>
                <w:rFonts w:ascii="Times New Roman" w:eastAsia="Times New Roman" w:hAnsi="Times New Roman" w:cs="Times New Roman"/>
                <w:color w:val="7030A0"/>
                <w:lang w:eastAsia="ro-RO"/>
              </w:rPr>
            </w:pPr>
            <w:r w:rsidRPr="00066F52">
              <w:rPr>
                <w:rFonts w:ascii="Times New Roman" w:eastAsia="Times New Roman" w:hAnsi="Times New Roman" w:cs="Times New Roman"/>
                <w:color w:val="7030A0"/>
                <w:lang w:eastAsia="ro-RO"/>
              </w:rPr>
              <w:t>Eliminare</w:t>
            </w:r>
          </w:p>
        </w:tc>
        <w:tc>
          <w:tcPr>
            <w:tcW w:w="930" w:type="pct"/>
            <w:tcBorders>
              <w:top w:val="nil"/>
              <w:left w:val="nil"/>
              <w:bottom w:val="single" w:sz="4" w:space="0" w:color="auto"/>
              <w:right w:val="single" w:sz="4" w:space="0" w:color="auto"/>
            </w:tcBorders>
            <w:shd w:val="clear" w:color="auto" w:fill="auto"/>
            <w:hideMark/>
          </w:tcPr>
          <w:p w14:paraId="2BD25D07"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Cine vinde aceste capacitati este un comerciant, indiferent ca este persoana fizica sau juridica. Asadar, consideram ca toate partile care initiaza vanzari sunt, a priori, supuse obligatiei de a tine contabilitatea acestor mijloace.</w:t>
            </w:r>
          </w:p>
        </w:tc>
        <w:tc>
          <w:tcPr>
            <w:tcW w:w="790" w:type="pct"/>
            <w:tcBorders>
              <w:top w:val="nil"/>
              <w:left w:val="nil"/>
              <w:bottom w:val="single" w:sz="4" w:space="0" w:color="auto"/>
              <w:right w:val="single" w:sz="4" w:space="0" w:color="auto"/>
            </w:tcBorders>
            <w:shd w:val="clear" w:color="auto" w:fill="auto"/>
            <w:hideMark/>
          </w:tcPr>
          <w:p w14:paraId="4047A57E"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Propunerea de eliminare nu este argumentată. Se face pe baza unei afirmații, fără susținere probatorie.</w:t>
            </w:r>
            <w:r w:rsidRPr="00066F52">
              <w:rPr>
                <w:rFonts w:ascii="Times New Roman" w:eastAsia="Times New Roman" w:hAnsi="Times New Roman" w:cs="Times New Roman"/>
                <w:b/>
                <w:bCs/>
                <w:color w:val="000000"/>
                <w:sz w:val="20"/>
                <w:szCs w:val="20"/>
                <w:lang w:eastAsia="ro-RO"/>
              </w:rPr>
              <w:t xml:space="preserve"> </w:t>
            </w:r>
            <w:r w:rsidRPr="00066F52">
              <w:rPr>
                <w:rFonts w:ascii="Times New Roman" w:eastAsia="Times New Roman" w:hAnsi="Times New Roman" w:cs="Times New Roman"/>
                <w:color w:val="000000"/>
                <w:sz w:val="20"/>
                <w:szCs w:val="20"/>
                <w:lang w:eastAsia="ro-RO"/>
              </w:rPr>
              <w:t>Există situații înregistrate la ANRE cu persoane fizice care sunt în poziția de vânzător de capacități energetice de distribuție.</w:t>
            </w:r>
          </w:p>
        </w:tc>
      </w:tr>
      <w:tr w:rsidR="00066F52" w:rsidRPr="00066F52" w14:paraId="08A1B8DA" w14:textId="77777777" w:rsidTr="00720795">
        <w:trPr>
          <w:trHeight w:val="2376"/>
        </w:trPr>
        <w:tc>
          <w:tcPr>
            <w:tcW w:w="245" w:type="pct"/>
            <w:tcBorders>
              <w:top w:val="nil"/>
              <w:left w:val="single" w:sz="4" w:space="0" w:color="auto"/>
              <w:bottom w:val="single" w:sz="4" w:space="0" w:color="auto"/>
              <w:right w:val="single" w:sz="4" w:space="0" w:color="auto"/>
            </w:tcBorders>
            <w:shd w:val="clear" w:color="auto" w:fill="auto"/>
            <w:hideMark/>
          </w:tcPr>
          <w:p w14:paraId="22680141"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41</w:t>
            </w:r>
          </w:p>
        </w:tc>
        <w:tc>
          <w:tcPr>
            <w:tcW w:w="265" w:type="pct"/>
            <w:tcBorders>
              <w:top w:val="nil"/>
              <w:left w:val="nil"/>
              <w:bottom w:val="single" w:sz="4" w:space="0" w:color="auto"/>
              <w:right w:val="single" w:sz="4" w:space="0" w:color="auto"/>
            </w:tcBorders>
            <w:shd w:val="clear" w:color="auto" w:fill="auto"/>
            <w:hideMark/>
          </w:tcPr>
          <w:p w14:paraId="0B04DDC1"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6</w:t>
            </w:r>
          </w:p>
        </w:tc>
        <w:tc>
          <w:tcPr>
            <w:tcW w:w="939" w:type="pct"/>
            <w:tcBorders>
              <w:top w:val="nil"/>
              <w:left w:val="nil"/>
              <w:bottom w:val="single" w:sz="4" w:space="0" w:color="auto"/>
              <w:right w:val="single" w:sz="4" w:space="0" w:color="auto"/>
            </w:tcBorders>
            <w:shd w:val="clear" w:color="auto" w:fill="auto"/>
            <w:hideMark/>
          </w:tcPr>
          <w:p w14:paraId="54BBDEFF"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670" w:type="pct"/>
            <w:tcBorders>
              <w:top w:val="nil"/>
              <w:left w:val="nil"/>
              <w:bottom w:val="single" w:sz="4" w:space="0" w:color="auto"/>
              <w:right w:val="single" w:sz="4" w:space="0" w:color="auto"/>
            </w:tcBorders>
            <w:shd w:val="clear" w:color="auto" w:fill="auto"/>
            <w:hideMark/>
          </w:tcPr>
          <w:p w14:paraId="4666CB15"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DEO</w:t>
            </w:r>
          </w:p>
        </w:tc>
        <w:tc>
          <w:tcPr>
            <w:tcW w:w="1161" w:type="pct"/>
            <w:tcBorders>
              <w:top w:val="nil"/>
              <w:left w:val="nil"/>
              <w:bottom w:val="single" w:sz="4" w:space="0" w:color="auto"/>
              <w:right w:val="single" w:sz="4" w:space="0" w:color="auto"/>
            </w:tcBorders>
            <w:shd w:val="clear" w:color="auto" w:fill="auto"/>
            <w:hideMark/>
          </w:tcPr>
          <w:p w14:paraId="7089B46D"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Propunere alineat nou:</w:t>
            </w:r>
            <w:r w:rsidRPr="00066F52">
              <w:rPr>
                <w:rFonts w:ascii="Times New Roman" w:eastAsia="Times New Roman" w:hAnsi="Times New Roman" w:cs="Times New Roman"/>
                <w:color w:val="FF0000"/>
                <w:sz w:val="20"/>
                <w:szCs w:val="20"/>
                <w:lang w:eastAsia="ro-RO"/>
              </w:rPr>
              <w:br/>
              <w:t xml:space="preserve">(4) Operatorul de distribuție are dreptul sa refuze transferul de capacități în cazul în care starea acestora este necorespunzătoare din punct de vedere tehnic/al electrosecurității, lucru atestat de un expert autorizat. </w:t>
            </w:r>
            <w:r w:rsidRPr="00066F52">
              <w:rPr>
                <w:rFonts w:ascii="Times New Roman" w:eastAsia="Times New Roman" w:hAnsi="Times New Roman" w:cs="Times New Roman"/>
                <w:color w:val="FF0000"/>
                <w:sz w:val="20"/>
                <w:szCs w:val="20"/>
                <w:lang w:eastAsia="ro-RO"/>
              </w:rPr>
              <w:br/>
              <w:t>De asemenea, operatorul de distribuție are dreptul să refuze transferul de capacități în cazul în care terenul pe care se situează rețelele respective este în litigiu sau nu se poate înscrie existența rețelelor ca sarcină în cartea funciară.</w:t>
            </w:r>
          </w:p>
        </w:tc>
        <w:tc>
          <w:tcPr>
            <w:tcW w:w="930" w:type="pct"/>
            <w:tcBorders>
              <w:top w:val="nil"/>
              <w:left w:val="nil"/>
              <w:bottom w:val="single" w:sz="4" w:space="0" w:color="auto"/>
              <w:right w:val="single" w:sz="4" w:space="0" w:color="auto"/>
            </w:tcBorders>
            <w:shd w:val="clear" w:color="auto" w:fill="auto"/>
            <w:hideMark/>
          </w:tcPr>
          <w:p w14:paraId="6DDBA498"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Acest punct trebuie introdus pentru evitarea viitoarelor litigii patrimoniale</w:t>
            </w:r>
          </w:p>
        </w:tc>
        <w:tc>
          <w:tcPr>
            <w:tcW w:w="790" w:type="pct"/>
            <w:tcBorders>
              <w:top w:val="nil"/>
              <w:left w:val="nil"/>
              <w:bottom w:val="single" w:sz="4" w:space="0" w:color="auto"/>
              <w:right w:val="single" w:sz="4" w:space="0" w:color="auto"/>
            </w:tcBorders>
            <w:shd w:val="clear" w:color="auto" w:fill="auto"/>
            <w:hideMark/>
          </w:tcPr>
          <w:p w14:paraId="1E4643BF"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color w:val="000000"/>
                <w:sz w:val="20"/>
                <w:szCs w:val="20"/>
                <w:lang w:eastAsia="ro-RO"/>
              </w:rPr>
              <w:br/>
              <w:t>Oferta de vânzare nu poate fi făcută, conform prevederilor legii (art. 46 alin. (2</w:t>
            </w:r>
            <w:r w:rsidRPr="00066F52">
              <w:rPr>
                <w:rFonts w:ascii="Times New Roman" w:eastAsia="Times New Roman" w:hAnsi="Times New Roman" w:cs="Times New Roman"/>
                <w:color w:val="000000"/>
                <w:sz w:val="20"/>
                <w:szCs w:val="20"/>
                <w:vertAlign w:val="superscript"/>
                <w:lang w:eastAsia="ro-RO"/>
              </w:rPr>
              <w:t>1</w:t>
            </w:r>
            <w:r w:rsidRPr="00066F52">
              <w:rPr>
                <w:rFonts w:ascii="Times New Roman" w:eastAsia="Times New Roman" w:hAnsi="Times New Roman" w:cs="Times New Roman"/>
                <w:color w:val="000000"/>
                <w:sz w:val="20"/>
                <w:szCs w:val="20"/>
                <w:lang w:eastAsia="ro-RO"/>
              </w:rPr>
              <w:t>)) pentru capacități care nu au situația patrimonială definitivată, iar în privința stării de funcționare, acesta este un subiect de negociere a prețului.</w:t>
            </w:r>
          </w:p>
        </w:tc>
      </w:tr>
      <w:tr w:rsidR="00066F52" w:rsidRPr="00066F52" w14:paraId="1C7197FB" w14:textId="77777777" w:rsidTr="00720795">
        <w:trPr>
          <w:trHeight w:val="2376"/>
        </w:trPr>
        <w:tc>
          <w:tcPr>
            <w:tcW w:w="245" w:type="pct"/>
            <w:tcBorders>
              <w:top w:val="nil"/>
              <w:left w:val="single" w:sz="4" w:space="0" w:color="auto"/>
              <w:bottom w:val="single" w:sz="4" w:space="0" w:color="auto"/>
              <w:right w:val="single" w:sz="4" w:space="0" w:color="auto"/>
            </w:tcBorders>
            <w:shd w:val="clear" w:color="auto" w:fill="auto"/>
            <w:hideMark/>
          </w:tcPr>
          <w:p w14:paraId="3F3D3B18"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42</w:t>
            </w:r>
          </w:p>
        </w:tc>
        <w:tc>
          <w:tcPr>
            <w:tcW w:w="265" w:type="pct"/>
            <w:tcBorders>
              <w:top w:val="nil"/>
              <w:left w:val="nil"/>
              <w:bottom w:val="single" w:sz="4" w:space="0" w:color="auto"/>
              <w:right w:val="single" w:sz="4" w:space="0" w:color="auto"/>
            </w:tcBorders>
            <w:shd w:val="clear" w:color="auto" w:fill="auto"/>
            <w:hideMark/>
          </w:tcPr>
          <w:p w14:paraId="2B10CE87"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7</w:t>
            </w:r>
          </w:p>
        </w:tc>
        <w:tc>
          <w:tcPr>
            <w:tcW w:w="939" w:type="pct"/>
            <w:tcBorders>
              <w:top w:val="nil"/>
              <w:left w:val="nil"/>
              <w:bottom w:val="single" w:sz="4" w:space="0" w:color="auto"/>
              <w:right w:val="single" w:sz="4" w:space="0" w:color="auto"/>
            </w:tcBorders>
            <w:shd w:val="clear" w:color="auto" w:fill="auto"/>
            <w:hideMark/>
          </w:tcPr>
          <w:p w14:paraId="3ECFDD78"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xml:space="preserve">(1) </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În situaţiile prevǎzute la art. 44 alin. (8) din Legea energiei electrice și a gazelor naturale nr. 123/2012, cu modificările și completările ulterioare, prețul de vânzare propus prin oferta înaintatǎ conform prevederilor art. 5 nu depǎşeşte valoarea netǎ contabilǎ a activelor propuse spre vânzare, conform înregistrărilor din contabilitatea persoanei fizice/juridice deținătoare a capacităților energetice de distribuție.</w:t>
            </w:r>
          </w:p>
        </w:tc>
        <w:tc>
          <w:tcPr>
            <w:tcW w:w="670" w:type="pct"/>
            <w:tcBorders>
              <w:top w:val="nil"/>
              <w:left w:val="nil"/>
              <w:bottom w:val="single" w:sz="4" w:space="0" w:color="auto"/>
              <w:right w:val="single" w:sz="4" w:space="0" w:color="auto"/>
            </w:tcBorders>
            <w:shd w:val="clear" w:color="auto" w:fill="auto"/>
            <w:hideMark/>
          </w:tcPr>
          <w:p w14:paraId="477028EC"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e-Distribuție</w:t>
            </w:r>
          </w:p>
        </w:tc>
        <w:tc>
          <w:tcPr>
            <w:tcW w:w="1161" w:type="pct"/>
            <w:tcBorders>
              <w:top w:val="nil"/>
              <w:left w:val="nil"/>
              <w:bottom w:val="single" w:sz="4" w:space="0" w:color="auto"/>
              <w:right w:val="single" w:sz="4" w:space="0" w:color="auto"/>
            </w:tcBorders>
            <w:shd w:val="clear" w:color="auto" w:fill="auto"/>
            <w:hideMark/>
          </w:tcPr>
          <w:p w14:paraId="34DEC7E4"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xml:space="preserve">(1) În situaţiile prevǎzute la art. 44 alin. (8) din Legea energiei electrice și a gazelor naturale nr. 123/2012, cu modificările și completările ulterioare, prețul de vânzare propus prin oferta înaintatǎ conform prevederilor art. 5 </w:t>
            </w:r>
            <w:r w:rsidRPr="00066F52">
              <w:rPr>
                <w:rFonts w:ascii="Times New Roman" w:eastAsia="Times New Roman" w:hAnsi="Times New Roman" w:cs="Times New Roman"/>
                <w:color w:val="FF0000"/>
                <w:sz w:val="20"/>
                <w:szCs w:val="20"/>
                <w:lang w:eastAsia="ro-RO"/>
              </w:rPr>
              <w:t>nu depǎşeşte valoarea activelor certificata de un expert autorizat independent.</w:t>
            </w:r>
          </w:p>
        </w:tc>
        <w:tc>
          <w:tcPr>
            <w:tcW w:w="930" w:type="pct"/>
            <w:tcBorders>
              <w:top w:val="nil"/>
              <w:left w:val="nil"/>
              <w:bottom w:val="single" w:sz="4" w:space="0" w:color="auto"/>
              <w:right w:val="single" w:sz="4" w:space="0" w:color="auto"/>
            </w:tcBorders>
            <w:shd w:val="clear" w:color="auto" w:fill="auto"/>
            <w:hideMark/>
          </w:tcPr>
          <w:p w14:paraId="61A74DB8"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tcBorders>
              <w:top w:val="nil"/>
              <w:left w:val="nil"/>
              <w:bottom w:val="single" w:sz="4" w:space="0" w:color="auto"/>
              <w:right w:val="single" w:sz="4" w:space="0" w:color="auto"/>
            </w:tcBorders>
            <w:shd w:val="clear" w:color="auto" w:fill="auto"/>
            <w:hideMark/>
          </w:tcPr>
          <w:p w14:paraId="6A5D6827"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color w:val="000000"/>
                <w:sz w:val="20"/>
                <w:szCs w:val="20"/>
                <w:lang w:eastAsia="ro-RO"/>
              </w:rPr>
              <w:br/>
              <w:t>Propunerea de reformulare nu are nici o motivație.</w:t>
            </w:r>
            <w:r w:rsidRPr="00066F52">
              <w:rPr>
                <w:rFonts w:ascii="Times New Roman" w:eastAsia="Times New Roman" w:hAnsi="Times New Roman" w:cs="Times New Roman"/>
                <w:color w:val="000000"/>
                <w:sz w:val="20"/>
                <w:szCs w:val="20"/>
                <w:lang w:eastAsia="ro-RO"/>
              </w:rPr>
              <w:br/>
              <w:t>De asemenea, în această situație nu este justificată obligarea vânzătorului la efectuarea unor costuri suplimentare pentru a avea o valoare justificată certificată pentru activele care trebuie preluate.</w:t>
            </w:r>
          </w:p>
        </w:tc>
      </w:tr>
      <w:tr w:rsidR="00066F52" w:rsidRPr="00066F52" w14:paraId="4A333ED0" w14:textId="77777777" w:rsidTr="00720795">
        <w:trPr>
          <w:trHeight w:val="1848"/>
        </w:trPr>
        <w:tc>
          <w:tcPr>
            <w:tcW w:w="245" w:type="pct"/>
            <w:tcBorders>
              <w:top w:val="nil"/>
              <w:left w:val="single" w:sz="4" w:space="0" w:color="auto"/>
              <w:bottom w:val="single" w:sz="4" w:space="0" w:color="auto"/>
              <w:right w:val="single" w:sz="4" w:space="0" w:color="auto"/>
            </w:tcBorders>
            <w:shd w:val="clear" w:color="auto" w:fill="auto"/>
            <w:hideMark/>
          </w:tcPr>
          <w:p w14:paraId="4CE03CAB"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lastRenderedPageBreak/>
              <w:t>43</w:t>
            </w:r>
          </w:p>
        </w:tc>
        <w:tc>
          <w:tcPr>
            <w:tcW w:w="265" w:type="pct"/>
            <w:vMerge w:val="restart"/>
            <w:tcBorders>
              <w:top w:val="nil"/>
              <w:left w:val="single" w:sz="4" w:space="0" w:color="auto"/>
              <w:bottom w:val="single" w:sz="4" w:space="0" w:color="auto"/>
              <w:right w:val="single" w:sz="4" w:space="0" w:color="auto"/>
            </w:tcBorders>
            <w:shd w:val="clear" w:color="auto" w:fill="auto"/>
            <w:hideMark/>
          </w:tcPr>
          <w:p w14:paraId="518446B5" w14:textId="77777777" w:rsidR="00066F52" w:rsidRPr="00066F52" w:rsidRDefault="00066F52" w:rsidP="00066F52">
            <w:pPr>
              <w:spacing w:after="0" w:line="240" w:lineRule="auto"/>
              <w:jc w:val="center"/>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7</w:t>
            </w:r>
          </w:p>
        </w:tc>
        <w:tc>
          <w:tcPr>
            <w:tcW w:w="939" w:type="pct"/>
            <w:vMerge w:val="restart"/>
            <w:tcBorders>
              <w:top w:val="nil"/>
              <w:left w:val="single" w:sz="4" w:space="0" w:color="auto"/>
              <w:bottom w:val="single" w:sz="4" w:space="0" w:color="auto"/>
              <w:right w:val="single" w:sz="4" w:space="0" w:color="auto"/>
            </w:tcBorders>
            <w:shd w:val="clear" w:color="auto" w:fill="auto"/>
            <w:hideMark/>
          </w:tcPr>
          <w:p w14:paraId="5A997EBF"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xml:space="preserve">(2) </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În cazul în care persoana care deţine capacitǎţile energetice de distribuție ce fac obiectul ofertei de vânzare nu are obligaţia legalǎ de a ține contabilitatea mijloacelor fixe, prin derogare de la prevederile alin. (1), prețul de vânzare propus nu depǎşeşte valoarea activelor certificată de un expert autorizat independent .</w:t>
            </w:r>
          </w:p>
        </w:tc>
        <w:tc>
          <w:tcPr>
            <w:tcW w:w="670" w:type="pct"/>
            <w:tcBorders>
              <w:top w:val="nil"/>
              <w:left w:val="nil"/>
              <w:bottom w:val="single" w:sz="4" w:space="0" w:color="auto"/>
              <w:right w:val="single" w:sz="4" w:space="0" w:color="auto"/>
            </w:tcBorders>
            <w:shd w:val="clear" w:color="auto" w:fill="auto"/>
            <w:hideMark/>
          </w:tcPr>
          <w:p w14:paraId="4DA03BEE"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1727EB6F"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xml:space="preserve">(2) În cazul în care persoana care deţine capacitǎţile energetice de distribuție ce fac obiectul ofertei de vânzare nu are obligaţia legalǎ de a ține contabilitatea mijloacelor fixe, prin derogare de la prevederile alin. (1), prețul de vânzare propus nu depǎşeşte valoarea activelor certificată de un expert autorizat independent, </w:t>
            </w:r>
            <w:r w:rsidRPr="00066F52">
              <w:rPr>
                <w:rFonts w:ascii="Times New Roman" w:eastAsia="Times New Roman" w:hAnsi="Times New Roman" w:cs="Times New Roman"/>
                <w:color w:val="FF0000"/>
                <w:sz w:val="20"/>
                <w:szCs w:val="20"/>
                <w:lang w:eastAsia="ro-RO"/>
              </w:rPr>
              <w:t>dar nu mai mult decât valoarea stabilită de OD pe baza expertizei tehnico-evaluatorii proprii.</w:t>
            </w:r>
          </w:p>
        </w:tc>
        <w:tc>
          <w:tcPr>
            <w:tcW w:w="930" w:type="pct"/>
            <w:tcBorders>
              <w:top w:val="nil"/>
              <w:left w:val="nil"/>
              <w:bottom w:val="single" w:sz="4" w:space="0" w:color="auto"/>
              <w:right w:val="single" w:sz="4" w:space="0" w:color="auto"/>
            </w:tcBorders>
            <w:shd w:val="clear" w:color="auto" w:fill="auto"/>
            <w:hideMark/>
          </w:tcPr>
          <w:p w14:paraId="717FD039"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Expertiza OD se justifica in baza evaluarilor statistice anterioare pentru elemente similare de retea.</w:t>
            </w:r>
          </w:p>
        </w:tc>
        <w:tc>
          <w:tcPr>
            <w:tcW w:w="790" w:type="pct"/>
            <w:tcBorders>
              <w:top w:val="nil"/>
              <w:left w:val="nil"/>
              <w:bottom w:val="single" w:sz="4" w:space="0" w:color="auto"/>
              <w:right w:val="single" w:sz="4" w:space="0" w:color="auto"/>
            </w:tcBorders>
            <w:shd w:val="clear" w:color="auto" w:fill="auto"/>
            <w:hideMark/>
          </w:tcPr>
          <w:p w14:paraId="4F63FED0"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ODC are la îndemână, conform prevederilor Metodologiei, suficiente instrumente pentru negocierea preluării capacităților energetice de distribuție. Completarea propusă nu aduce în plus decât o conotație de abuz de poziție în negociere.</w:t>
            </w:r>
          </w:p>
        </w:tc>
      </w:tr>
      <w:tr w:rsidR="00066F52" w:rsidRPr="00066F52" w14:paraId="12C44A2B" w14:textId="77777777" w:rsidTr="00720795">
        <w:trPr>
          <w:trHeight w:val="792"/>
        </w:trPr>
        <w:tc>
          <w:tcPr>
            <w:tcW w:w="245" w:type="pct"/>
            <w:tcBorders>
              <w:top w:val="nil"/>
              <w:left w:val="single" w:sz="4" w:space="0" w:color="auto"/>
              <w:bottom w:val="single" w:sz="4" w:space="0" w:color="auto"/>
              <w:right w:val="single" w:sz="4" w:space="0" w:color="auto"/>
            </w:tcBorders>
            <w:shd w:val="clear" w:color="auto" w:fill="auto"/>
            <w:hideMark/>
          </w:tcPr>
          <w:p w14:paraId="2AFD95D1"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44</w:t>
            </w:r>
          </w:p>
        </w:tc>
        <w:tc>
          <w:tcPr>
            <w:tcW w:w="265" w:type="pct"/>
            <w:vMerge/>
            <w:tcBorders>
              <w:top w:val="nil"/>
              <w:left w:val="single" w:sz="4" w:space="0" w:color="auto"/>
              <w:bottom w:val="single" w:sz="4" w:space="0" w:color="auto"/>
              <w:right w:val="single" w:sz="4" w:space="0" w:color="auto"/>
            </w:tcBorders>
            <w:vAlign w:val="center"/>
            <w:hideMark/>
          </w:tcPr>
          <w:p w14:paraId="5D694E1D"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c>
          <w:tcPr>
            <w:tcW w:w="939" w:type="pct"/>
            <w:vMerge/>
            <w:tcBorders>
              <w:top w:val="nil"/>
              <w:left w:val="single" w:sz="4" w:space="0" w:color="auto"/>
              <w:bottom w:val="single" w:sz="4" w:space="0" w:color="auto"/>
              <w:right w:val="single" w:sz="4" w:space="0" w:color="auto"/>
            </w:tcBorders>
            <w:vAlign w:val="center"/>
            <w:hideMark/>
          </w:tcPr>
          <w:p w14:paraId="2BE68A8C"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p>
        </w:tc>
        <w:tc>
          <w:tcPr>
            <w:tcW w:w="670" w:type="pct"/>
            <w:tcBorders>
              <w:top w:val="nil"/>
              <w:left w:val="nil"/>
              <w:bottom w:val="single" w:sz="4" w:space="0" w:color="auto"/>
              <w:right w:val="single" w:sz="4" w:space="0" w:color="auto"/>
            </w:tcBorders>
            <w:shd w:val="clear" w:color="auto" w:fill="auto"/>
            <w:hideMark/>
          </w:tcPr>
          <w:p w14:paraId="465DF8CC"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e-Distribuție</w:t>
            </w:r>
          </w:p>
        </w:tc>
        <w:tc>
          <w:tcPr>
            <w:tcW w:w="1161" w:type="pct"/>
            <w:tcBorders>
              <w:top w:val="nil"/>
              <w:left w:val="nil"/>
              <w:bottom w:val="single" w:sz="4" w:space="0" w:color="auto"/>
              <w:right w:val="single" w:sz="4" w:space="0" w:color="auto"/>
            </w:tcBorders>
            <w:shd w:val="clear" w:color="auto" w:fill="auto"/>
            <w:hideMark/>
          </w:tcPr>
          <w:p w14:paraId="1E1E7F15"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Propunem eliminarea acestui aliniat</w:t>
            </w:r>
          </w:p>
        </w:tc>
        <w:tc>
          <w:tcPr>
            <w:tcW w:w="930" w:type="pct"/>
            <w:tcBorders>
              <w:top w:val="nil"/>
              <w:left w:val="nil"/>
              <w:bottom w:val="single" w:sz="4" w:space="0" w:color="auto"/>
              <w:right w:val="single" w:sz="4" w:space="0" w:color="auto"/>
            </w:tcBorders>
            <w:shd w:val="clear" w:color="auto" w:fill="auto"/>
            <w:hideMark/>
          </w:tcPr>
          <w:p w14:paraId="12FDFB5C"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tcBorders>
              <w:top w:val="nil"/>
              <w:left w:val="nil"/>
              <w:bottom w:val="single" w:sz="4" w:space="0" w:color="auto"/>
              <w:right w:val="single" w:sz="4" w:space="0" w:color="auto"/>
            </w:tcBorders>
            <w:shd w:val="clear" w:color="auto" w:fill="auto"/>
            <w:hideMark/>
          </w:tcPr>
          <w:p w14:paraId="34A0AAC6"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color w:val="000000"/>
                <w:sz w:val="20"/>
                <w:szCs w:val="20"/>
                <w:lang w:eastAsia="ro-RO"/>
              </w:rPr>
              <w:br/>
              <w:t>Propunerea de reformulare nu are nici o motivație</w:t>
            </w:r>
          </w:p>
        </w:tc>
      </w:tr>
      <w:tr w:rsidR="00066F52" w:rsidRPr="00066F52" w14:paraId="3223D8DA" w14:textId="77777777" w:rsidTr="00720795">
        <w:trPr>
          <w:trHeight w:val="1056"/>
        </w:trPr>
        <w:tc>
          <w:tcPr>
            <w:tcW w:w="245" w:type="pct"/>
            <w:tcBorders>
              <w:top w:val="nil"/>
              <w:left w:val="single" w:sz="4" w:space="0" w:color="auto"/>
              <w:bottom w:val="single" w:sz="4" w:space="0" w:color="auto"/>
              <w:right w:val="single" w:sz="4" w:space="0" w:color="auto"/>
            </w:tcBorders>
            <w:shd w:val="clear" w:color="auto" w:fill="auto"/>
            <w:hideMark/>
          </w:tcPr>
          <w:p w14:paraId="0F5E1E1A"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45</w:t>
            </w:r>
          </w:p>
        </w:tc>
        <w:tc>
          <w:tcPr>
            <w:tcW w:w="265" w:type="pct"/>
            <w:tcBorders>
              <w:top w:val="nil"/>
              <w:left w:val="nil"/>
              <w:bottom w:val="single" w:sz="4" w:space="0" w:color="auto"/>
              <w:right w:val="single" w:sz="4" w:space="0" w:color="auto"/>
            </w:tcBorders>
            <w:shd w:val="clear" w:color="auto" w:fill="auto"/>
            <w:hideMark/>
          </w:tcPr>
          <w:p w14:paraId="28B5940D"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7</w:t>
            </w:r>
          </w:p>
        </w:tc>
        <w:tc>
          <w:tcPr>
            <w:tcW w:w="939" w:type="pct"/>
            <w:tcBorders>
              <w:top w:val="nil"/>
              <w:left w:val="nil"/>
              <w:bottom w:val="single" w:sz="4" w:space="0" w:color="auto"/>
              <w:right w:val="single" w:sz="4" w:space="0" w:color="auto"/>
            </w:tcBorders>
            <w:shd w:val="clear" w:color="auto" w:fill="auto"/>
            <w:hideMark/>
          </w:tcPr>
          <w:p w14:paraId="58FD90EF"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xml:space="preserve">(3) </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Prețul contractului de vânzare-cumpărare se stabileşte prin negociere între părți, pe baza ofertei de vânzare înaintate în condiţiile prevăzute la alin. (1) sau (2), dupǎ caz.</w:t>
            </w:r>
          </w:p>
        </w:tc>
        <w:tc>
          <w:tcPr>
            <w:tcW w:w="670" w:type="pct"/>
            <w:tcBorders>
              <w:top w:val="nil"/>
              <w:left w:val="nil"/>
              <w:bottom w:val="single" w:sz="4" w:space="0" w:color="auto"/>
              <w:right w:val="single" w:sz="4" w:space="0" w:color="auto"/>
            </w:tcBorders>
            <w:shd w:val="clear" w:color="auto" w:fill="auto"/>
            <w:noWrap/>
            <w:hideMark/>
          </w:tcPr>
          <w:p w14:paraId="12AE1557"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e-Distribuție</w:t>
            </w:r>
          </w:p>
        </w:tc>
        <w:tc>
          <w:tcPr>
            <w:tcW w:w="1161" w:type="pct"/>
            <w:tcBorders>
              <w:top w:val="nil"/>
              <w:left w:val="nil"/>
              <w:bottom w:val="single" w:sz="4" w:space="0" w:color="auto"/>
              <w:right w:val="single" w:sz="4" w:space="0" w:color="auto"/>
            </w:tcBorders>
            <w:shd w:val="clear" w:color="auto" w:fill="auto"/>
            <w:hideMark/>
          </w:tcPr>
          <w:p w14:paraId="3B756F64"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(3) Prețul contractului de vânzare-cumpărare se stabileşte prin negociere între părți, pe baza ofertei de vânzare înaintate în condiţiile prevăzute la alin. (1)</w:t>
            </w:r>
          </w:p>
        </w:tc>
        <w:tc>
          <w:tcPr>
            <w:tcW w:w="930" w:type="pct"/>
            <w:tcBorders>
              <w:top w:val="nil"/>
              <w:left w:val="nil"/>
              <w:bottom w:val="single" w:sz="4" w:space="0" w:color="auto"/>
              <w:right w:val="single" w:sz="4" w:space="0" w:color="auto"/>
            </w:tcBorders>
            <w:shd w:val="clear" w:color="auto" w:fill="auto"/>
            <w:noWrap/>
            <w:hideMark/>
          </w:tcPr>
          <w:p w14:paraId="233F1F6E"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790" w:type="pct"/>
            <w:tcBorders>
              <w:top w:val="nil"/>
              <w:left w:val="nil"/>
              <w:bottom w:val="single" w:sz="4" w:space="0" w:color="auto"/>
              <w:right w:val="single" w:sz="4" w:space="0" w:color="auto"/>
            </w:tcBorders>
            <w:shd w:val="clear" w:color="auto" w:fill="auto"/>
            <w:hideMark/>
          </w:tcPr>
          <w:p w14:paraId="47A5791B"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color w:val="000000"/>
                <w:sz w:val="20"/>
                <w:szCs w:val="20"/>
                <w:lang w:eastAsia="ro-RO"/>
              </w:rPr>
              <w:br/>
              <w:t>Propunerea de reformulare nu are nici o motivație</w:t>
            </w:r>
          </w:p>
        </w:tc>
      </w:tr>
      <w:tr w:rsidR="00066F52" w:rsidRPr="00066F52" w14:paraId="0C13CBAE" w14:textId="77777777" w:rsidTr="00720795">
        <w:trPr>
          <w:trHeight w:val="1056"/>
        </w:trPr>
        <w:tc>
          <w:tcPr>
            <w:tcW w:w="245" w:type="pct"/>
            <w:tcBorders>
              <w:top w:val="nil"/>
              <w:left w:val="single" w:sz="4" w:space="0" w:color="auto"/>
              <w:bottom w:val="single" w:sz="4" w:space="0" w:color="auto"/>
              <w:right w:val="single" w:sz="4" w:space="0" w:color="auto"/>
            </w:tcBorders>
            <w:shd w:val="clear" w:color="auto" w:fill="auto"/>
            <w:hideMark/>
          </w:tcPr>
          <w:p w14:paraId="2442E715"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46</w:t>
            </w:r>
          </w:p>
        </w:tc>
        <w:tc>
          <w:tcPr>
            <w:tcW w:w="265" w:type="pct"/>
            <w:vMerge w:val="restart"/>
            <w:tcBorders>
              <w:top w:val="nil"/>
              <w:left w:val="single" w:sz="4" w:space="0" w:color="auto"/>
              <w:bottom w:val="single" w:sz="4" w:space="0" w:color="auto"/>
              <w:right w:val="single" w:sz="4" w:space="0" w:color="auto"/>
            </w:tcBorders>
            <w:shd w:val="clear" w:color="auto" w:fill="auto"/>
            <w:hideMark/>
          </w:tcPr>
          <w:p w14:paraId="35A7D9D6" w14:textId="77777777" w:rsidR="00066F52" w:rsidRPr="00066F52" w:rsidRDefault="00066F52" w:rsidP="00066F52">
            <w:pPr>
              <w:spacing w:after="0" w:line="240" w:lineRule="auto"/>
              <w:jc w:val="center"/>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7</w:t>
            </w:r>
          </w:p>
        </w:tc>
        <w:tc>
          <w:tcPr>
            <w:tcW w:w="939" w:type="pct"/>
            <w:tcBorders>
              <w:top w:val="nil"/>
              <w:left w:val="nil"/>
              <w:bottom w:val="single" w:sz="4" w:space="0" w:color="auto"/>
              <w:right w:val="single" w:sz="4" w:space="0" w:color="auto"/>
            </w:tcBorders>
            <w:shd w:val="clear" w:color="auto" w:fill="auto"/>
            <w:hideMark/>
          </w:tcPr>
          <w:p w14:paraId="035CABFB"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670" w:type="pct"/>
            <w:tcBorders>
              <w:top w:val="nil"/>
              <w:left w:val="nil"/>
              <w:bottom w:val="single" w:sz="4" w:space="0" w:color="auto"/>
              <w:right w:val="single" w:sz="4" w:space="0" w:color="auto"/>
            </w:tcBorders>
            <w:shd w:val="clear" w:color="auto" w:fill="auto"/>
            <w:hideMark/>
          </w:tcPr>
          <w:p w14:paraId="153E695E"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165D02EF"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Propunere de completare cu 3 alineate noi:</w:t>
            </w:r>
            <w:r w:rsidRPr="00066F52">
              <w:rPr>
                <w:rFonts w:ascii="Times New Roman" w:eastAsia="Times New Roman" w:hAnsi="Times New Roman" w:cs="Times New Roman"/>
                <w:color w:val="FF0000"/>
                <w:sz w:val="20"/>
                <w:szCs w:val="20"/>
                <w:lang w:eastAsia="ro-RO"/>
              </w:rPr>
              <w:br/>
              <w:t>(4) OD preiau capacitățile energetice care fac obiectul unor hotărâri definitive ale instanțelor judecătorești, la valoarea stabilită în Decizie.</w:t>
            </w:r>
          </w:p>
        </w:tc>
        <w:tc>
          <w:tcPr>
            <w:tcW w:w="930" w:type="pct"/>
            <w:tcBorders>
              <w:top w:val="nil"/>
              <w:left w:val="nil"/>
              <w:bottom w:val="single" w:sz="4" w:space="0" w:color="auto"/>
              <w:right w:val="single" w:sz="4" w:space="0" w:color="auto"/>
            </w:tcBorders>
            <w:shd w:val="clear" w:color="auto" w:fill="auto"/>
            <w:hideMark/>
          </w:tcPr>
          <w:p w14:paraId="09463EC1"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vMerge w:val="restart"/>
            <w:tcBorders>
              <w:top w:val="nil"/>
              <w:left w:val="single" w:sz="4" w:space="0" w:color="auto"/>
              <w:bottom w:val="single" w:sz="4" w:space="0" w:color="auto"/>
              <w:right w:val="single" w:sz="4" w:space="0" w:color="auto"/>
            </w:tcBorders>
            <w:shd w:val="clear" w:color="auto" w:fill="auto"/>
            <w:hideMark/>
          </w:tcPr>
          <w:p w14:paraId="66E220DE"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Propunerile de aliniate sunt în afara domeniului de reglementare acoperit de Metodologie.</w:t>
            </w:r>
          </w:p>
        </w:tc>
      </w:tr>
      <w:tr w:rsidR="00066F52" w:rsidRPr="00066F52" w14:paraId="13EE081B" w14:textId="77777777" w:rsidTr="00720795">
        <w:trPr>
          <w:trHeight w:val="1056"/>
        </w:trPr>
        <w:tc>
          <w:tcPr>
            <w:tcW w:w="245" w:type="pct"/>
            <w:tcBorders>
              <w:top w:val="nil"/>
              <w:left w:val="single" w:sz="4" w:space="0" w:color="auto"/>
              <w:bottom w:val="single" w:sz="4" w:space="0" w:color="auto"/>
              <w:right w:val="single" w:sz="4" w:space="0" w:color="auto"/>
            </w:tcBorders>
            <w:shd w:val="clear" w:color="auto" w:fill="auto"/>
            <w:hideMark/>
          </w:tcPr>
          <w:p w14:paraId="6E797C51"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47</w:t>
            </w:r>
          </w:p>
        </w:tc>
        <w:tc>
          <w:tcPr>
            <w:tcW w:w="265" w:type="pct"/>
            <w:vMerge/>
            <w:tcBorders>
              <w:top w:val="nil"/>
              <w:left w:val="single" w:sz="4" w:space="0" w:color="auto"/>
              <w:bottom w:val="single" w:sz="4" w:space="0" w:color="auto"/>
              <w:right w:val="single" w:sz="4" w:space="0" w:color="auto"/>
            </w:tcBorders>
            <w:vAlign w:val="center"/>
            <w:hideMark/>
          </w:tcPr>
          <w:p w14:paraId="45A332C6"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c>
          <w:tcPr>
            <w:tcW w:w="939" w:type="pct"/>
            <w:tcBorders>
              <w:top w:val="nil"/>
              <w:left w:val="nil"/>
              <w:bottom w:val="single" w:sz="4" w:space="0" w:color="auto"/>
              <w:right w:val="single" w:sz="4" w:space="0" w:color="auto"/>
            </w:tcBorders>
            <w:shd w:val="clear" w:color="auto" w:fill="auto"/>
            <w:hideMark/>
          </w:tcPr>
          <w:p w14:paraId="20DFBFCE"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670" w:type="pct"/>
            <w:tcBorders>
              <w:top w:val="nil"/>
              <w:left w:val="nil"/>
              <w:bottom w:val="single" w:sz="4" w:space="0" w:color="auto"/>
              <w:right w:val="single" w:sz="4" w:space="0" w:color="auto"/>
            </w:tcBorders>
            <w:shd w:val="clear" w:color="auto" w:fill="auto"/>
            <w:hideMark/>
          </w:tcPr>
          <w:p w14:paraId="42CE0E90"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76118426"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(5) OD vor prelua capacități energetice ca urmare a obligării de către instanța, la valoarea stabilita prin printr-o hotărâre judecătorească definitiva.</w:t>
            </w:r>
          </w:p>
        </w:tc>
        <w:tc>
          <w:tcPr>
            <w:tcW w:w="930" w:type="pct"/>
            <w:tcBorders>
              <w:top w:val="nil"/>
              <w:left w:val="nil"/>
              <w:bottom w:val="single" w:sz="4" w:space="0" w:color="auto"/>
              <w:right w:val="single" w:sz="4" w:space="0" w:color="auto"/>
            </w:tcBorders>
            <w:shd w:val="clear" w:color="auto" w:fill="auto"/>
            <w:hideMark/>
          </w:tcPr>
          <w:p w14:paraId="19079DD8"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vMerge/>
            <w:tcBorders>
              <w:top w:val="nil"/>
              <w:left w:val="single" w:sz="4" w:space="0" w:color="auto"/>
              <w:bottom w:val="single" w:sz="4" w:space="0" w:color="auto"/>
              <w:right w:val="single" w:sz="4" w:space="0" w:color="auto"/>
            </w:tcBorders>
            <w:vAlign w:val="center"/>
            <w:hideMark/>
          </w:tcPr>
          <w:p w14:paraId="543F1AA5"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r>
      <w:tr w:rsidR="00066F52" w:rsidRPr="00066F52" w14:paraId="7964FAEF" w14:textId="77777777" w:rsidTr="00720795">
        <w:trPr>
          <w:trHeight w:val="1056"/>
        </w:trPr>
        <w:tc>
          <w:tcPr>
            <w:tcW w:w="245" w:type="pct"/>
            <w:tcBorders>
              <w:top w:val="nil"/>
              <w:left w:val="single" w:sz="4" w:space="0" w:color="auto"/>
              <w:bottom w:val="single" w:sz="4" w:space="0" w:color="auto"/>
              <w:right w:val="single" w:sz="4" w:space="0" w:color="auto"/>
            </w:tcBorders>
            <w:shd w:val="clear" w:color="auto" w:fill="auto"/>
            <w:hideMark/>
          </w:tcPr>
          <w:p w14:paraId="2DB9B752"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48</w:t>
            </w:r>
          </w:p>
        </w:tc>
        <w:tc>
          <w:tcPr>
            <w:tcW w:w="265" w:type="pct"/>
            <w:vMerge/>
            <w:tcBorders>
              <w:top w:val="nil"/>
              <w:left w:val="single" w:sz="4" w:space="0" w:color="auto"/>
              <w:bottom w:val="single" w:sz="4" w:space="0" w:color="auto"/>
              <w:right w:val="single" w:sz="4" w:space="0" w:color="auto"/>
            </w:tcBorders>
            <w:vAlign w:val="center"/>
            <w:hideMark/>
          </w:tcPr>
          <w:p w14:paraId="48BA9184"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c>
          <w:tcPr>
            <w:tcW w:w="939" w:type="pct"/>
            <w:tcBorders>
              <w:top w:val="nil"/>
              <w:left w:val="nil"/>
              <w:bottom w:val="single" w:sz="4" w:space="0" w:color="auto"/>
              <w:right w:val="single" w:sz="4" w:space="0" w:color="auto"/>
            </w:tcBorders>
            <w:shd w:val="clear" w:color="auto" w:fill="auto"/>
            <w:hideMark/>
          </w:tcPr>
          <w:p w14:paraId="386D4ECB"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670" w:type="pct"/>
            <w:tcBorders>
              <w:top w:val="nil"/>
              <w:left w:val="nil"/>
              <w:bottom w:val="single" w:sz="4" w:space="0" w:color="auto"/>
              <w:right w:val="single" w:sz="4" w:space="0" w:color="auto"/>
            </w:tcBorders>
            <w:shd w:val="clear" w:color="auto" w:fill="auto"/>
            <w:hideMark/>
          </w:tcPr>
          <w:p w14:paraId="5474936B"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17484943"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(6) În cazul prevăzut la alin. (4) documentele care însoțesc predarea capacităților energetice respective, sunt cele prevăzute la art. 9.</w:t>
            </w:r>
          </w:p>
        </w:tc>
        <w:tc>
          <w:tcPr>
            <w:tcW w:w="930" w:type="pct"/>
            <w:tcBorders>
              <w:top w:val="nil"/>
              <w:left w:val="nil"/>
              <w:bottom w:val="single" w:sz="4" w:space="0" w:color="auto"/>
              <w:right w:val="single" w:sz="4" w:space="0" w:color="auto"/>
            </w:tcBorders>
            <w:shd w:val="clear" w:color="auto" w:fill="auto"/>
            <w:hideMark/>
          </w:tcPr>
          <w:p w14:paraId="4B2F5D91"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vMerge/>
            <w:tcBorders>
              <w:top w:val="nil"/>
              <w:left w:val="single" w:sz="4" w:space="0" w:color="auto"/>
              <w:bottom w:val="single" w:sz="4" w:space="0" w:color="auto"/>
              <w:right w:val="single" w:sz="4" w:space="0" w:color="auto"/>
            </w:tcBorders>
            <w:vAlign w:val="center"/>
            <w:hideMark/>
          </w:tcPr>
          <w:p w14:paraId="73254F6D"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r>
      <w:tr w:rsidR="00066F52" w:rsidRPr="00066F52" w14:paraId="61A59EF4" w14:textId="77777777" w:rsidTr="00720795">
        <w:trPr>
          <w:trHeight w:val="528"/>
        </w:trPr>
        <w:tc>
          <w:tcPr>
            <w:tcW w:w="245" w:type="pct"/>
            <w:tcBorders>
              <w:top w:val="nil"/>
              <w:left w:val="single" w:sz="4" w:space="0" w:color="auto"/>
              <w:bottom w:val="single" w:sz="4" w:space="0" w:color="auto"/>
              <w:right w:val="single" w:sz="4" w:space="0" w:color="auto"/>
            </w:tcBorders>
            <w:shd w:val="clear" w:color="auto" w:fill="auto"/>
            <w:hideMark/>
          </w:tcPr>
          <w:p w14:paraId="31FBAA39"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lastRenderedPageBreak/>
              <w:t>49</w:t>
            </w:r>
          </w:p>
        </w:tc>
        <w:tc>
          <w:tcPr>
            <w:tcW w:w="265" w:type="pct"/>
            <w:tcBorders>
              <w:top w:val="nil"/>
              <w:left w:val="nil"/>
              <w:bottom w:val="single" w:sz="4" w:space="0" w:color="auto"/>
              <w:right w:val="single" w:sz="4" w:space="0" w:color="auto"/>
            </w:tcBorders>
            <w:shd w:val="clear" w:color="auto" w:fill="auto"/>
            <w:hideMark/>
          </w:tcPr>
          <w:p w14:paraId="1EBE08E0"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7</w:t>
            </w:r>
          </w:p>
        </w:tc>
        <w:tc>
          <w:tcPr>
            <w:tcW w:w="939" w:type="pct"/>
            <w:tcBorders>
              <w:top w:val="nil"/>
              <w:left w:val="nil"/>
              <w:bottom w:val="single" w:sz="4" w:space="0" w:color="auto"/>
              <w:right w:val="single" w:sz="4" w:space="0" w:color="auto"/>
            </w:tcBorders>
            <w:shd w:val="clear" w:color="auto" w:fill="auto"/>
            <w:hideMark/>
          </w:tcPr>
          <w:p w14:paraId="7B674DBE"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670" w:type="pct"/>
            <w:tcBorders>
              <w:top w:val="nil"/>
              <w:left w:val="nil"/>
              <w:bottom w:val="single" w:sz="4" w:space="0" w:color="auto"/>
              <w:right w:val="single" w:sz="4" w:space="0" w:color="auto"/>
            </w:tcBorders>
            <w:shd w:val="clear" w:color="auto" w:fill="auto"/>
            <w:hideMark/>
          </w:tcPr>
          <w:p w14:paraId="451E6018"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OMV Petrom</w:t>
            </w:r>
          </w:p>
        </w:tc>
        <w:tc>
          <w:tcPr>
            <w:tcW w:w="1161" w:type="pct"/>
            <w:tcBorders>
              <w:top w:val="nil"/>
              <w:left w:val="nil"/>
              <w:bottom w:val="single" w:sz="4" w:space="0" w:color="auto"/>
              <w:right w:val="single" w:sz="4" w:space="0" w:color="auto"/>
            </w:tcBorders>
            <w:shd w:val="clear" w:color="auto" w:fill="auto"/>
            <w:hideMark/>
          </w:tcPr>
          <w:p w14:paraId="39594C1D"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Modificarea articolului în acord cu propunerile de modificare de la art. 6 alin. (2) și (3)</w:t>
            </w:r>
          </w:p>
        </w:tc>
        <w:tc>
          <w:tcPr>
            <w:tcW w:w="930" w:type="pct"/>
            <w:tcBorders>
              <w:top w:val="nil"/>
              <w:left w:val="nil"/>
              <w:bottom w:val="single" w:sz="4" w:space="0" w:color="auto"/>
              <w:right w:val="single" w:sz="4" w:space="0" w:color="auto"/>
            </w:tcBorders>
            <w:shd w:val="clear" w:color="auto" w:fill="auto"/>
            <w:hideMark/>
          </w:tcPr>
          <w:p w14:paraId="31C9D4BF"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Aceeași motivație ca la art. 6</w:t>
            </w:r>
          </w:p>
        </w:tc>
        <w:tc>
          <w:tcPr>
            <w:tcW w:w="790" w:type="pct"/>
            <w:tcBorders>
              <w:top w:val="nil"/>
              <w:left w:val="nil"/>
              <w:bottom w:val="single" w:sz="4" w:space="0" w:color="auto"/>
              <w:right w:val="single" w:sz="4" w:space="0" w:color="auto"/>
            </w:tcBorders>
            <w:shd w:val="clear" w:color="auto" w:fill="auto"/>
            <w:hideMark/>
          </w:tcPr>
          <w:p w14:paraId="26F35F8E"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v. motivarea de la art. 6</w:t>
            </w:r>
          </w:p>
        </w:tc>
      </w:tr>
      <w:tr w:rsidR="00066F52" w:rsidRPr="00066F52" w14:paraId="045A9DD0" w14:textId="77777777" w:rsidTr="00720795">
        <w:trPr>
          <w:trHeight w:val="1056"/>
        </w:trPr>
        <w:tc>
          <w:tcPr>
            <w:tcW w:w="245" w:type="pct"/>
            <w:tcBorders>
              <w:top w:val="nil"/>
              <w:left w:val="single" w:sz="4" w:space="0" w:color="auto"/>
              <w:bottom w:val="single" w:sz="4" w:space="0" w:color="auto"/>
              <w:right w:val="single" w:sz="4" w:space="0" w:color="auto"/>
            </w:tcBorders>
            <w:shd w:val="clear" w:color="auto" w:fill="auto"/>
            <w:hideMark/>
          </w:tcPr>
          <w:p w14:paraId="29CFE4B6"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50</w:t>
            </w:r>
          </w:p>
        </w:tc>
        <w:tc>
          <w:tcPr>
            <w:tcW w:w="265" w:type="pct"/>
            <w:tcBorders>
              <w:top w:val="nil"/>
              <w:left w:val="nil"/>
              <w:bottom w:val="single" w:sz="4" w:space="0" w:color="auto"/>
              <w:right w:val="single" w:sz="4" w:space="0" w:color="auto"/>
            </w:tcBorders>
            <w:shd w:val="clear" w:color="auto" w:fill="auto"/>
            <w:hideMark/>
          </w:tcPr>
          <w:p w14:paraId="2785ED70"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8</w:t>
            </w:r>
          </w:p>
        </w:tc>
        <w:tc>
          <w:tcPr>
            <w:tcW w:w="939" w:type="pct"/>
            <w:tcBorders>
              <w:top w:val="nil"/>
              <w:left w:val="nil"/>
              <w:bottom w:val="single" w:sz="4" w:space="0" w:color="auto"/>
              <w:right w:val="single" w:sz="4" w:space="0" w:color="auto"/>
            </w:tcBorders>
            <w:shd w:val="clear" w:color="auto" w:fill="auto"/>
            <w:hideMark/>
          </w:tcPr>
          <w:p w14:paraId="57F2BAED"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Procesul de preluare în proprietate al capacităților energetice de distribuție de cǎtre operatorul de distribuţie concesionar constă în derularea următoarelor activități:</w:t>
            </w:r>
          </w:p>
        </w:tc>
        <w:tc>
          <w:tcPr>
            <w:tcW w:w="670" w:type="pct"/>
            <w:tcBorders>
              <w:top w:val="nil"/>
              <w:left w:val="nil"/>
              <w:bottom w:val="single" w:sz="4" w:space="0" w:color="auto"/>
              <w:right w:val="single" w:sz="4" w:space="0" w:color="auto"/>
            </w:tcBorders>
            <w:shd w:val="clear" w:color="auto" w:fill="auto"/>
            <w:hideMark/>
          </w:tcPr>
          <w:p w14:paraId="15F9FCC1"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1161" w:type="pct"/>
            <w:tcBorders>
              <w:top w:val="nil"/>
              <w:left w:val="nil"/>
              <w:bottom w:val="single" w:sz="4" w:space="0" w:color="auto"/>
              <w:right w:val="single" w:sz="4" w:space="0" w:color="auto"/>
            </w:tcBorders>
            <w:shd w:val="clear" w:color="auto" w:fill="auto"/>
            <w:hideMark/>
          </w:tcPr>
          <w:p w14:paraId="326225BF"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930" w:type="pct"/>
            <w:tcBorders>
              <w:top w:val="nil"/>
              <w:left w:val="nil"/>
              <w:bottom w:val="single" w:sz="4" w:space="0" w:color="auto"/>
              <w:right w:val="single" w:sz="4" w:space="0" w:color="auto"/>
            </w:tcBorders>
            <w:shd w:val="clear" w:color="auto" w:fill="auto"/>
            <w:hideMark/>
          </w:tcPr>
          <w:p w14:paraId="7A4EDB9D"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tcBorders>
              <w:top w:val="nil"/>
              <w:left w:val="nil"/>
              <w:bottom w:val="single" w:sz="4" w:space="0" w:color="auto"/>
              <w:right w:val="single" w:sz="4" w:space="0" w:color="auto"/>
            </w:tcBorders>
            <w:shd w:val="clear" w:color="auto" w:fill="auto"/>
            <w:hideMark/>
          </w:tcPr>
          <w:p w14:paraId="3E4BFDF6"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r>
      <w:tr w:rsidR="00066F52" w:rsidRPr="00066F52" w14:paraId="3406843A" w14:textId="77777777" w:rsidTr="00720795">
        <w:trPr>
          <w:trHeight w:val="792"/>
        </w:trPr>
        <w:tc>
          <w:tcPr>
            <w:tcW w:w="245" w:type="pct"/>
            <w:tcBorders>
              <w:top w:val="nil"/>
              <w:left w:val="single" w:sz="4" w:space="0" w:color="auto"/>
              <w:bottom w:val="single" w:sz="4" w:space="0" w:color="auto"/>
              <w:right w:val="single" w:sz="4" w:space="0" w:color="auto"/>
            </w:tcBorders>
            <w:shd w:val="clear" w:color="auto" w:fill="auto"/>
            <w:hideMark/>
          </w:tcPr>
          <w:p w14:paraId="2364E711"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51</w:t>
            </w:r>
          </w:p>
        </w:tc>
        <w:tc>
          <w:tcPr>
            <w:tcW w:w="265" w:type="pct"/>
            <w:tcBorders>
              <w:top w:val="nil"/>
              <w:left w:val="nil"/>
              <w:bottom w:val="single" w:sz="4" w:space="0" w:color="auto"/>
              <w:right w:val="single" w:sz="4" w:space="0" w:color="auto"/>
            </w:tcBorders>
            <w:shd w:val="clear" w:color="auto" w:fill="auto"/>
            <w:hideMark/>
          </w:tcPr>
          <w:p w14:paraId="71013AFC"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8</w:t>
            </w:r>
          </w:p>
        </w:tc>
        <w:tc>
          <w:tcPr>
            <w:tcW w:w="939" w:type="pct"/>
            <w:tcBorders>
              <w:top w:val="nil"/>
              <w:left w:val="nil"/>
              <w:bottom w:val="single" w:sz="4" w:space="0" w:color="auto"/>
              <w:right w:val="single" w:sz="4" w:space="0" w:color="auto"/>
            </w:tcBorders>
            <w:shd w:val="clear" w:color="auto" w:fill="auto"/>
            <w:hideMark/>
          </w:tcPr>
          <w:p w14:paraId="5740BE25"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a)</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depunerea ofertei de vânzare de către persoana fizică/juridică deținătoare a capacităților energetice de distribuție;</w:t>
            </w:r>
          </w:p>
        </w:tc>
        <w:tc>
          <w:tcPr>
            <w:tcW w:w="670" w:type="pct"/>
            <w:tcBorders>
              <w:top w:val="nil"/>
              <w:left w:val="nil"/>
              <w:bottom w:val="single" w:sz="4" w:space="0" w:color="auto"/>
              <w:right w:val="single" w:sz="4" w:space="0" w:color="auto"/>
            </w:tcBorders>
            <w:shd w:val="clear" w:color="auto" w:fill="auto"/>
            <w:hideMark/>
          </w:tcPr>
          <w:p w14:paraId="69CB8128"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e-Distribuție</w:t>
            </w:r>
          </w:p>
        </w:tc>
        <w:tc>
          <w:tcPr>
            <w:tcW w:w="1161" w:type="pct"/>
            <w:tcBorders>
              <w:top w:val="nil"/>
              <w:left w:val="nil"/>
              <w:bottom w:val="single" w:sz="4" w:space="0" w:color="auto"/>
              <w:right w:val="single" w:sz="4" w:space="0" w:color="auto"/>
            </w:tcBorders>
            <w:shd w:val="clear" w:color="auto" w:fill="auto"/>
            <w:hideMark/>
          </w:tcPr>
          <w:p w14:paraId="3F26D511"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xml:space="preserve">a) depunerea ofertei de vânzare de către persoana fizică/juridică deținătoare a capacităților energetice de distribuție </w:t>
            </w:r>
            <w:r w:rsidRPr="00066F52">
              <w:rPr>
                <w:rFonts w:ascii="Times New Roman" w:eastAsia="Times New Roman" w:hAnsi="Times New Roman" w:cs="Times New Roman"/>
                <w:color w:val="FF0000"/>
                <w:sz w:val="20"/>
                <w:szCs w:val="20"/>
                <w:lang w:eastAsia="ro-RO"/>
              </w:rPr>
              <w:t>si a documentatiei complete ce sta la baza ofertei sale conform art. 9</w:t>
            </w:r>
            <w:r w:rsidRPr="00066F52">
              <w:rPr>
                <w:rFonts w:ascii="Times New Roman" w:eastAsia="Times New Roman" w:hAnsi="Times New Roman" w:cs="Times New Roman"/>
                <w:color w:val="000000"/>
                <w:sz w:val="20"/>
                <w:szCs w:val="20"/>
                <w:lang w:eastAsia="ro-RO"/>
              </w:rPr>
              <w:t>;</w:t>
            </w:r>
          </w:p>
        </w:tc>
        <w:tc>
          <w:tcPr>
            <w:tcW w:w="930" w:type="pct"/>
            <w:tcBorders>
              <w:top w:val="nil"/>
              <w:left w:val="nil"/>
              <w:bottom w:val="single" w:sz="4" w:space="0" w:color="auto"/>
              <w:right w:val="single" w:sz="4" w:space="0" w:color="auto"/>
            </w:tcBorders>
            <w:shd w:val="clear" w:color="auto" w:fill="auto"/>
            <w:hideMark/>
          </w:tcPr>
          <w:p w14:paraId="4FC8B87A"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tcBorders>
              <w:top w:val="nil"/>
              <w:left w:val="nil"/>
              <w:bottom w:val="single" w:sz="4" w:space="0" w:color="auto"/>
              <w:right w:val="single" w:sz="4" w:space="0" w:color="auto"/>
            </w:tcBorders>
            <w:shd w:val="clear" w:color="auto" w:fill="auto"/>
            <w:hideMark/>
          </w:tcPr>
          <w:p w14:paraId="625A0F36"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N</w:t>
            </w:r>
            <w:r w:rsidRPr="00066F52">
              <w:rPr>
                <w:rFonts w:ascii="Times New Roman" w:eastAsia="Times New Roman" w:hAnsi="Times New Roman" w:cs="Times New Roman"/>
                <w:b/>
                <w:bCs/>
                <w:color w:val="000000"/>
                <w:sz w:val="20"/>
                <w:szCs w:val="20"/>
                <w:lang w:eastAsia="ro-RO"/>
              </w:rPr>
              <w:t>u se acceptă.</w:t>
            </w:r>
            <w:r w:rsidRPr="00066F52">
              <w:rPr>
                <w:rFonts w:ascii="Times New Roman" w:eastAsia="Times New Roman" w:hAnsi="Times New Roman" w:cs="Times New Roman"/>
                <w:color w:val="000000"/>
                <w:sz w:val="20"/>
                <w:szCs w:val="20"/>
                <w:lang w:eastAsia="ro-RO"/>
              </w:rPr>
              <w:br/>
              <w:t>Art. 10 din Metodologie prevede această obligație.</w:t>
            </w:r>
          </w:p>
        </w:tc>
      </w:tr>
      <w:tr w:rsidR="00066F52" w:rsidRPr="00066F52" w14:paraId="44C28731" w14:textId="77777777" w:rsidTr="00720795">
        <w:trPr>
          <w:trHeight w:val="792"/>
        </w:trPr>
        <w:tc>
          <w:tcPr>
            <w:tcW w:w="245" w:type="pct"/>
            <w:tcBorders>
              <w:top w:val="nil"/>
              <w:left w:val="single" w:sz="4" w:space="0" w:color="auto"/>
              <w:bottom w:val="single" w:sz="4" w:space="0" w:color="auto"/>
              <w:right w:val="single" w:sz="4" w:space="0" w:color="auto"/>
            </w:tcBorders>
            <w:shd w:val="clear" w:color="auto" w:fill="auto"/>
            <w:hideMark/>
          </w:tcPr>
          <w:p w14:paraId="790B7757"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52</w:t>
            </w:r>
          </w:p>
        </w:tc>
        <w:tc>
          <w:tcPr>
            <w:tcW w:w="265" w:type="pct"/>
            <w:tcBorders>
              <w:top w:val="nil"/>
              <w:left w:val="nil"/>
              <w:bottom w:val="single" w:sz="4" w:space="0" w:color="auto"/>
              <w:right w:val="single" w:sz="4" w:space="0" w:color="auto"/>
            </w:tcBorders>
            <w:shd w:val="clear" w:color="auto" w:fill="auto"/>
            <w:hideMark/>
          </w:tcPr>
          <w:p w14:paraId="47EE2F61"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8</w:t>
            </w:r>
          </w:p>
        </w:tc>
        <w:tc>
          <w:tcPr>
            <w:tcW w:w="939" w:type="pct"/>
            <w:tcBorders>
              <w:top w:val="nil"/>
              <w:left w:val="nil"/>
              <w:bottom w:val="single" w:sz="4" w:space="0" w:color="auto"/>
              <w:right w:val="single" w:sz="4" w:space="0" w:color="auto"/>
            </w:tcBorders>
            <w:shd w:val="clear" w:color="auto" w:fill="auto"/>
            <w:hideMark/>
          </w:tcPr>
          <w:p w14:paraId="179C6FF0"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 </w:t>
            </w:r>
          </w:p>
        </w:tc>
        <w:tc>
          <w:tcPr>
            <w:tcW w:w="670" w:type="pct"/>
            <w:tcBorders>
              <w:top w:val="nil"/>
              <w:left w:val="nil"/>
              <w:bottom w:val="single" w:sz="4" w:space="0" w:color="auto"/>
              <w:right w:val="single" w:sz="4" w:space="0" w:color="auto"/>
            </w:tcBorders>
            <w:shd w:val="clear" w:color="auto" w:fill="auto"/>
            <w:hideMark/>
          </w:tcPr>
          <w:p w14:paraId="677EF98A"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0D381B8C"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Propunere de completare:</w:t>
            </w:r>
            <w:r w:rsidRPr="00066F52">
              <w:rPr>
                <w:rFonts w:ascii="Times New Roman" w:eastAsia="Times New Roman" w:hAnsi="Times New Roman" w:cs="Times New Roman"/>
                <w:color w:val="FF0000"/>
                <w:sz w:val="20"/>
                <w:szCs w:val="20"/>
                <w:lang w:eastAsia="ro-RO"/>
              </w:rPr>
              <w:br/>
              <w:t xml:space="preserve">b^1)analiza documentatiei transmise </w:t>
            </w:r>
          </w:p>
        </w:tc>
        <w:tc>
          <w:tcPr>
            <w:tcW w:w="930" w:type="pct"/>
            <w:tcBorders>
              <w:top w:val="nil"/>
              <w:left w:val="nil"/>
              <w:bottom w:val="single" w:sz="4" w:space="0" w:color="auto"/>
              <w:right w:val="single" w:sz="4" w:space="0" w:color="auto"/>
            </w:tcBorders>
            <w:shd w:val="clear" w:color="auto" w:fill="auto"/>
            <w:hideMark/>
          </w:tcPr>
          <w:p w14:paraId="3C85795D"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vMerge w:val="restart"/>
            <w:tcBorders>
              <w:top w:val="nil"/>
              <w:left w:val="single" w:sz="4" w:space="0" w:color="auto"/>
              <w:bottom w:val="single" w:sz="4" w:space="0" w:color="auto"/>
              <w:right w:val="single" w:sz="4" w:space="0" w:color="auto"/>
            </w:tcBorders>
            <w:shd w:val="clear" w:color="auto" w:fill="auto"/>
            <w:hideMark/>
          </w:tcPr>
          <w:p w14:paraId="678DC4C4"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Analiza documentației nu poate fi o etapă distinctă nominalizată în reglementare. Propunerile sunt elemente de negociere care se stabilesc între părți.</w:t>
            </w:r>
          </w:p>
        </w:tc>
      </w:tr>
      <w:tr w:rsidR="00066F52" w:rsidRPr="00066F52" w14:paraId="44300E01" w14:textId="77777777" w:rsidTr="00720795">
        <w:trPr>
          <w:trHeight w:val="1056"/>
        </w:trPr>
        <w:tc>
          <w:tcPr>
            <w:tcW w:w="245" w:type="pct"/>
            <w:tcBorders>
              <w:top w:val="nil"/>
              <w:left w:val="single" w:sz="4" w:space="0" w:color="auto"/>
              <w:bottom w:val="single" w:sz="4" w:space="0" w:color="auto"/>
              <w:right w:val="single" w:sz="4" w:space="0" w:color="auto"/>
            </w:tcBorders>
            <w:shd w:val="clear" w:color="auto" w:fill="auto"/>
            <w:hideMark/>
          </w:tcPr>
          <w:p w14:paraId="75C94388"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53</w:t>
            </w:r>
          </w:p>
        </w:tc>
        <w:tc>
          <w:tcPr>
            <w:tcW w:w="265" w:type="pct"/>
            <w:tcBorders>
              <w:top w:val="nil"/>
              <w:left w:val="nil"/>
              <w:bottom w:val="single" w:sz="4" w:space="0" w:color="auto"/>
              <w:right w:val="single" w:sz="4" w:space="0" w:color="auto"/>
            </w:tcBorders>
            <w:shd w:val="clear" w:color="auto" w:fill="auto"/>
            <w:hideMark/>
          </w:tcPr>
          <w:p w14:paraId="4530A55A"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8</w:t>
            </w:r>
          </w:p>
        </w:tc>
        <w:tc>
          <w:tcPr>
            <w:tcW w:w="939" w:type="pct"/>
            <w:tcBorders>
              <w:top w:val="nil"/>
              <w:left w:val="nil"/>
              <w:bottom w:val="single" w:sz="4" w:space="0" w:color="auto"/>
              <w:right w:val="single" w:sz="4" w:space="0" w:color="auto"/>
            </w:tcBorders>
            <w:shd w:val="clear" w:color="auto" w:fill="auto"/>
            <w:hideMark/>
          </w:tcPr>
          <w:p w14:paraId="76444BBA"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 </w:t>
            </w:r>
          </w:p>
        </w:tc>
        <w:tc>
          <w:tcPr>
            <w:tcW w:w="670" w:type="pct"/>
            <w:tcBorders>
              <w:top w:val="nil"/>
              <w:left w:val="nil"/>
              <w:bottom w:val="single" w:sz="4" w:space="0" w:color="auto"/>
              <w:right w:val="single" w:sz="4" w:space="0" w:color="auto"/>
            </w:tcBorders>
            <w:shd w:val="clear" w:color="auto" w:fill="auto"/>
            <w:hideMark/>
          </w:tcPr>
          <w:p w14:paraId="351A1D33"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45DF0678"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b^2) încheierea contractului de vânzare-cumpărare: in formă autentică cu suportarea de catre vanzator a cheltuielilor de aferente vanzarii/predarii capacitatilor energetice. și predarea-preluarea capacităților energetice de distribuție.</w:t>
            </w:r>
          </w:p>
        </w:tc>
        <w:tc>
          <w:tcPr>
            <w:tcW w:w="930" w:type="pct"/>
            <w:tcBorders>
              <w:top w:val="nil"/>
              <w:left w:val="nil"/>
              <w:bottom w:val="single" w:sz="4" w:space="0" w:color="auto"/>
              <w:right w:val="single" w:sz="4" w:space="0" w:color="auto"/>
            </w:tcBorders>
            <w:shd w:val="clear" w:color="auto" w:fill="auto"/>
            <w:hideMark/>
          </w:tcPr>
          <w:p w14:paraId="1807F460"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vMerge/>
            <w:tcBorders>
              <w:top w:val="nil"/>
              <w:left w:val="single" w:sz="4" w:space="0" w:color="auto"/>
              <w:bottom w:val="single" w:sz="4" w:space="0" w:color="auto"/>
              <w:right w:val="single" w:sz="4" w:space="0" w:color="auto"/>
            </w:tcBorders>
            <w:vAlign w:val="center"/>
            <w:hideMark/>
          </w:tcPr>
          <w:p w14:paraId="0436C4FF"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r>
      <w:tr w:rsidR="00066F52" w:rsidRPr="00066F52" w14:paraId="61A87469" w14:textId="77777777" w:rsidTr="00720795">
        <w:trPr>
          <w:trHeight w:val="3432"/>
        </w:trPr>
        <w:tc>
          <w:tcPr>
            <w:tcW w:w="245" w:type="pct"/>
            <w:tcBorders>
              <w:top w:val="nil"/>
              <w:left w:val="single" w:sz="4" w:space="0" w:color="auto"/>
              <w:bottom w:val="single" w:sz="4" w:space="0" w:color="auto"/>
              <w:right w:val="single" w:sz="4" w:space="0" w:color="auto"/>
            </w:tcBorders>
            <w:shd w:val="clear" w:color="auto" w:fill="auto"/>
            <w:hideMark/>
          </w:tcPr>
          <w:p w14:paraId="02960C04"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lastRenderedPageBreak/>
              <w:t>54</w:t>
            </w:r>
          </w:p>
        </w:tc>
        <w:tc>
          <w:tcPr>
            <w:tcW w:w="265" w:type="pct"/>
            <w:tcBorders>
              <w:top w:val="nil"/>
              <w:left w:val="nil"/>
              <w:bottom w:val="single" w:sz="4" w:space="0" w:color="auto"/>
              <w:right w:val="single" w:sz="4" w:space="0" w:color="auto"/>
            </w:tcBorders>
            <w:shd w:val="clear" w:color="auto" w:fill="auto"/>
            <w:hideMark/>
          </w:tcPr>
          <w:p w14:paraId="5157AC26"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8</w:t>
            </w:r>
          </w:p>
        </w:tc>
        <w:tc>
          <w:tcPr>
            <w:tcW w:w="939" w:type="pct"/>
            <w:tcBorders>
              <w:top w:val="nil"/>
              <w:left w:val="nil"/>
              <w:bottom w:val="single" w:sz="4" w:space="0" w:color="auto"/>
              <w:right w:val="single" w:sz="4" w:space="0" w:color="auto"/>
            </w:tcBorders>
            <w:shd w:val="clear" w:color="auto" w:fill="auto"/>
            <w:hideMark/>
          </w:tcPr>
          <w:p w14:paraId="2B741E93"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670" w:type="pct"/>
            <w:tcBorders>
              <w:top w:val="nil"/>
              <w:left w:val="nil"/>
              <w:bottom w:val="single" w:sz="4" w:space="0" w:color="auto"/>
              <w:right w:val="single" w:sz="4" w:space="0" w:color="auto"/>
            </w:tcBorders>
            <w:shd w:val="clear" w:color="auto" w:fill="auto"/>
            <w:hideMark/>
          </w:tcPr>
          <w:p w14:paraId="20C5C60B"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5E4B6943"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Propunere de completare:</w:t>
            </w:r>
            <w:r w:rsidRPr="00066F52">
              <w:rPr>
                <w:rFonts w:ascii="Times New Roman" w:eastAsia="Times New Roman" w:hAnsi="Times New Roman" w:cs="Times New Roman"/>
                <w:color w:val="FF0000"/>
                <w:sz w:val="20"/>
                <w:szCs w:val="20"/>
                <w:lang w:eastAsia="ro-RO"/>
              </w:rPr>
              <w:br/>
              <w:t>d) În situația în care operatorul de distribuție concesionar nu poate achita în totalitate contravaloarea capacităților de distribuție, din lipsă de fonduri financiare în condițiile limitărilor aferente programului de investiţii al anului în curs, părțile pot conveni plata eșalonată a acesteia pe o perioadă de maximum 5 ani, cu înștiințarea prealabilă a ANRE.</w:t>
            </w:r>
            <w:r w:rsidRPr="00066F52">
              <w:rPr>
                <w:rFonts w:ascii="Times New Roman" w:eastAsia="Times New Roman" w:hAnsi="Times New Roman" w:cs="Times New Roman"/>
                <w:color w:val="FF0000"/>
                <w:sz w:val="20"/>
                <w:szCs w:val="20"/>
                <w:lang w:eastAsia="ro-RO"/>
              </w:rPr>
              <w:br/>
              <w:t>Recunoașterea valorii mijloacelor fixe în baza reglementată a activelor se face corelat cu înregistrarea activelor în contabilitate eșalonare.</w:t>
            </w:r>
            <w:r w:rsidRPr="00066F52">
              <w:rPr>
                <w:rFonts w:ascii="Times New Roman" w:eastAsia="Times New Roman" w:hAnsi="Times New Roman" w:cs="Times New Roman"/>
                <w:color w:val="FF0000"/>
                <w:sz w:val="20"/>
                <w:szCs w:val="20"/>
                <w:lang w:eastAsia="ro-RO"/>
              </w:rPr>
              <w:br/>
              <w:t>În anul în care se finalizează plata se recunosc și costurile aferente plăților efectuate în perioada cuprinsă între semnarea contractului de transfer și finalizarea plății.</w:t>
            </w:r>
          </w:p>
        </w:tc>
        <w:tc>
          <w:tcPr>
            <w:tcW w:w="930" w:type="pct"/>
            <w:tcBorders>
              <w:top w:val="nil"/>
              <w:left w:val="nil"/>
              <w:bottom w:val="single" w:sz="4" w:space="0" w:color="auto"/>
              <w:right w:val="single" w:sz="4" w:space="0" w:color="auto"/>
            </w:tcBorders>
            <w:shd w:val="clear" w:color="auto" w:fill="auto"/>
            <w:hideMark/>
          </w:tcPr>
          <w:p w14:paraId="0E12244E"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Având in vedere ca in momentul in care apare solicitarea de transfer ,  lucrările de investiții ale anului respectiv sunt în derulare (contracte de execuție în derulare), este absolut necesară acordarea posibilităților de eșalonare a plăților, corelat cu posibilitățile de încadrare în PI anuale viitoare.</w:t>
            </w:r>
          </w:p>
        </w:tc>
        <w:tc>
          <w:tcPr>
            <w:tcW w:w="790" w:type="pct"/>
            <w:tcBorders>
              <w:top w:val="nil"/>
              <w:left w:val="nil"/>
              <w:bottom w:val="single" w:sz="4" w:space="0" w:color="auto"/>
              <w:right w:val="single" w:sz="4" w:space="0" w:color="auto"/>
            </w:tcBorders>
            <w:shd w:val="clear" w:color="auto" w:fill="auto"/>
            <w:hideMark/>
          </w:tcPr>
          <w:p w14:paraId="69078C91"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Propunerea face obiectul unei modificări a Procedurii privind fundamentarea şi criteriile de aprobare a planurilor de investiţii ale operatorului de transport şi de sistem şi ale operatorilor de distribuţie a energiei electrice.</w:t>
            </w:r>
          </w:p>
        </w:tc>
      </w:tr>
      <w:tr w:rsidR="00066F52" w:rsidRPr="00066F52" w14:paraId="07F7E522" w14:textId="77777777" w:rsidTr="00720795">
        <w:trPr>
          <w:trHeight w:val="1056"/>
        </w:trPr>
        <w:tc>
          <w:tcPr>
            <w:tcW w:w="245" w:type="pct"/>
            <w:tcBorders>
              <w:top w:val="nil"/>
              <w:left w:val="single" w:sz="4" w:space="0" w:color="auto"/>
              <w:bottom w:val="single" w:sz="4" w:space="0" w:color="auto"/>
              <w:right w:val="single" w:sz="4" w:space="0" w:color="auto"/>
            </w:tcBorders>
            <w:shd w:val="clear" w:color="auto" w:fill="auto"/>
            <w:hideMark/>
          </w:tcPr>
          <w:p w14:paraId="1686C2E7"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55</w:t>
            </w:r>
          </w:p>
        </w:tc>
        <w:tc>
          <w:tcPr>
            <w:tcW w:w="265" w:type="pct"/>
            <w:tcBorders>
              <w:top w:val="nil"/>
              <w:left w:val="nil"/>
              <w:bottom w:val="single" w:sz="4" w:space="0" w:color="auto"/>
              <w:right w:val="single" w:sz="4" w:space="0" w:color="auto"/>
            </w:tcBorders>
            <w:shd w:val="clear" w:color="auto" w:fill="auto"/>
            <w:hideMark/>
          </w:tcPr>
          <w:p w14:paraId="4AEFDAD4"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9</w:t>
            </w:r>
          </w:p>
        </w:tc>
        <w:tc>
          <w:tcPr>
            <w:tcW w:w="939" w:type="pct"/>
            <w:tcBorders>
              <w:top w:val="nil"/>
              <w:left w:val="nil"/>
              <w:bottom w:val="single" w:sz="4" w:space="0" w:color="auto"/>
              <w:right w:val="single" w:sz="4" w:space="0" w:color="auto"/>
            </w:tcBorders>
            <w:shd w:val="clear" w:color="auto" w:fill="auto"/>
            <w:hideMark/>
          </w:tcPr>
          <w:p w14:paraId="6EAAD8B8"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(1)</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Predarea-preluarea capacităților energetice de distribuție se face cu respectarea prevederilor prezentei metodologii, pe baza următoarele documente:</w:t>
            </w:r>
          </w:p>
        </w:tc>
        <w:tc>
          <w:tcPr>
            <w:tcW w:w="670" w:type="pct"/>
            <w:tcBorders>
              <w:top w:val="nil"/>
              <w:left w:val="nil"/>
              <w:bottom w:val="single" w:sz="4" w:space="0" w:color="auto"/>
              <w:right w:val="single" w:sz="4" w:space="0" w:color="auto"/>
            </w:tcBorders>
            <w:shd w:val="clear" w:color="auto" w:fill="auto"/>
            <w:hideMark/>
          </w:tcPr>
          <w:p w14:paraId="2B4905A7"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e-Distribuție</w:t>
            </w:r>
          </w:p>
        </w:tc>
        <w:tc>
          <w:tcPr>
            <w:tcW w:w="1161" w:type="pct"/>
            <w:tcBorders>
              <w:top w:val="nil"/>
              <w:left w:val="nil"/>
              <w:bottom w:val="single" w:sz="4" w:space="0" w:color="auto"/>
              <w:right w:val="single" w:sz="4" w:space="0" w:color="auto"/>
            </w:tcBorders>
            <w:shd w:val="clear" w:color="auto" w:fill="auto"/>
            <w:hideMark/>
          </w:tcPr>
          <w:p w14:paraId="2B6AA66B" w14:textId="77777777" w:rsidR="00066F52" w:rsidRPr="00066F52" w:rsidRDefault="00066F52" w:rsidP="00066F52">
            <w:pPr>
              <w:spacing w:after="0" w:line="240" w:lineRule="auto"/>
              <w:jc w:val="both"/>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Transferul</w:t>
            </w:r>
            <w:r w:rsidRPr="00066F52">
              <w:rPr>
                <w:rFonts w:ascii="Times New Roman" w:eastAsia="Times New Roman" w:hAnsi="Times New Roman" w:cs="Times New Roman"/>
                <w:color w:val="000000"/>
                <w:sz w:val="20"/>
                <w:szCs w:val="20"/>
                <w:lang w:eastAsia="ro-RO"/>
              </w:rPr>
              <w:t xml:space="preserve"> capacităților energetice de distribuție se face cu respectarea prevederilor prezentei metodologii, pe baza următoarele documente:</w:t>
            </w:r>
          </w:p>
        </w:tc>
        <w:tc>
          <w:tcPr>
            <w:tcW w:w="930" w:type="pct"/>
            <w:tcBorders>
              <w:top w:val="nil"/>
              <w:left w:val="nil"/>
              <w:bottom w:val="single" w:sz="4" w:space="0" w:color="auto"/>
              <w:right w:val="single" w:sz="4" w:space="0" w:color="auto"/>
            </w:tcBorders>
            <w:shd w:val="clear" w:color="auto" w:fill="auto"/>
            <w:hideMark/>
          </w:tcPr>
          <w:p w14:paraId="357F2D0A"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tcBorders>
              <w:top w:val="nil"/>
              <w:left w:val="nil"/>
              <w:bottom w:val="single" w:sz="4" w:space="0" w:color="auto"/>
              <w:right w:val="single" w:sz="4" w:space="0" w:color="auto"/>
            </w:tcBorders>
            <w:shd w:val="clear" w:color="auto" w:fill="auto"/>
            <w:hideMark/>
          </w:tcPr>
          <w:p w14:paraId="6AEFAE20"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p>
        </w:tc>
      </w:tr>
      <w:tr w:rsidR="00066F52" w:rsidRPr="00066F52" w14:paraId="0E46FE30" w14:textId="77777777" w:rsidTr="00720795">
        <w:trPr>
          <w:trHeight w:val="1056"/>
        </w:trPr>
        <w:tc>
          <w:tcPr>
            <w:tcW w:w="245" w:type="pct"/>
            <w:tcBorders>
              <w:top w:val="nil"/>
              <w:left w:val="single" w:sz="4" w:space="0" w:color="auto"/>
              <w:bottom w:val="single" w:sz="4" w:space="0" w:color="auto"/>
              <w:right w:val="single" w:sz="4" w:space="0" w:color="auto"/>
            </w:tcBorders>
            <w:shd w:val="clear" w:color="auto" w:fill="auto"/>
            <w:hideMark/>
          </w:tcPr>
          <w:p w14:paraId="4C1E0538"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56</w:t>
            </w:r>
          </w:p>
        </w:tc>
        <w:tc>
          <w:tcPr>
            <w:tcW w:w="265" w:type="pct"/>
            <w:tcBorders>
              <w:top w:val="nil"/>
              <w:left w:val="nil"/>
              <w:bottom w:val="single" w:sz="4" w:space="0" w:color="auto"/>
              <w:right w:val="single" w:sz="4" w:space="0" w:color="auto"/>
            </w:tcBorders>
            <w:shd w:val="clear" w:color="auto" w:fill="auto"/>
            <w:hideMark/>
          </w:tcPr>
          <w:p w14:paraId="36BB1434"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9</w:t>
            </w:r>
          </w:p>
        </w:tc>
        <w:tc>
          <w:tcPr>
            <w:tcW w:w="939" w:type="pct"/>
            <w:tcBorders>
              <w:top w:val="nil"/>
              <w:left w:val="nil"/>
              <w:bottom w:val="single" w:sz="4" w:space="0" w:color="auto"/>
              <w:right w:val="single" w:sz="4" w:space="0" w:color="auto"/>
            </w:tcBorders>
            <w:shd w:val="clear" w:color="auto" w:fill="auto"/>
            <w:hideMark/>
          </w:tcPr>
          <w:p w14:paraId="4202E715"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a)</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lista mijloacelor fixe aferente capacităților energetice de distribuție a energiei electrice care fac obiectul contractului de vânzare-cumpărare, însoţitǎ de urmǎtoarele informaţii:</w:t>
            </w:r>
          </w:p>
        </w:tc>
        <w:tc>
          <w:tcPr>
            <w:tcW w:w="670" w:type="pct"/>
            <w:tcBorders>
              <w:top w:val="nil"/>
              <w:left w:val="nil"/>
              <w:bottom w:val="single" w:sz="4" w:space="0" w:color="auto"/>
              <w:right w:val="single" w:sz="4" w:space="0" w:color="auto"/>
            </w:tcBorders>
            <w:shd w:val="clear" w:color="auto" w:fill="auto"/>
            <w:hideMark/>
          </w:tcPr>
          <w:p w14:paraId="0467E274"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1161" w:type="pct"/>
            <w:tcBorders>
              <w:top w:val="nil"/>
              <w:left w:val="nil"/>
              <w:bottom w:val="single" w:sz="4" w:space="0" w:color="auto"/>
              <w:right w:val="single" w:sz="4" w:space="0" w:color="auto"/>
            </w:tcBorders>
            <w:shd w:val="clear" w:color="auto" w:fill="auto"/>
            <w:hideMark/>
          </w:tcPr>
          <w:p w14:paraId="20673D1B"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930" w:type="pct"/>
            <w:tcBorders>
              <w:top w:val="nil"/>
              <w:left w:val="nil"/>
              <w:bottom w:val="single" w:sz="4" w:space="0" w:color="auto"/>
              <w:right w:val="single" w:sz="4" w:space="0" w:color="auto"/>
            </w:tcBorders>
            <w:shd w:val="clear" w:color="auto" w:fill="auto"/>
            <w:hideMark/>
          </w:tcPr>
          <w:p w14:paraId="339FFACB"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tcBorders>
              <w:top w:val="nil"/>
              <w:left w:val="nil"/>
              <w:bottom w:val="single" w:sz="4" w:space="0" w:color="auto"/>
              <w:right w:val="single" w:sz="4" w:space="0" w:color="auto"/>
            </w:tcBorders>
            <w:shd w:val="clear" w:color="auto" w:fill="auto"/>
            <w:hideMark/>
          </w:tcPr>
          <w:p w14:paraId="1B650A40"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r>
      <w:tr w:rsidR="00066F52" w:rsidRPr="00066F52" w14:paraId="3F99BC5F" w14:textId="77777777" w:rsidTr="00720795">
        <w:trPr>
          <w:trHeight w:val="1320"/>
        </w:trPr>
        <w:tc>
          <w:tcPr>
            <w:tcW w:w="245" w:type="pct"/>
            <w:tcBorders>
              <w:top w:val="nil"/>
              <w:left w:val="single" w:sz="4" w:space="0" w:color="auto"/>
              <w:bottom w:val="single" w:sz="4" w:space="0" w:color="auto"/>
              <w:right w:val="single" w:sz="4" w:space="0" w:color="auto"/>
            </w:tcBorders>
            <w:shd w:val="clear" w:color="auto" w:fill="auto"/>
            <w:hideMark/>
          </w:tcPr>
          <w:p w14:paraId="54922F1C"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57</w:t>
            </w:r>
          </w:p>
        </w:tc>
        <w:tc>
          <w:tcPr>
            <w:tcW w:w="265" w:type="pct"/>
            <w:tcBorders>
              <w:top w:val="nil"/>
              <w:left w:val="nil"/>
              <w:bottom w:val="single" w:sz="4" w:space="0" w:color="auto"/>
              <w:right w:val="single" w:sz="4" w:space="0" w:color="auto"/>
            </w:tcBorders>
            <w:shd w:val="clear" w:color="auto" w:fill="auto"/>
            <w:hideMark/>
          </w:tcPr>
          <w:p w14:paraId="07261D71"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9</w:t>
            </w:r>
          </w:p>
        </w:tc>
        <w:tc>
          <w:tcPr>
            <w:tcW w:w="939" w:type="pct"/>
            <w:tcBorders>
              <w:top w:val="nil"/>
              <w:left w:val="nil"/>
              <w:bottom w:val="single" w:sz="4" w:space="0" w:color="auto"/>
              <w:right w:val="single" w:sz="4" w:space="0" w:color="auto"/>
            </w:tcBorders>
            <w:shd w:val="clear" w:color="auto" w:fill="auto"/>
            <w:hideMark/>
          </w:tcPr>
          <w:p w14:paraId="5C442A7A"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3.</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valoarea de inventar a mijlocului fix la data punerii în funcțiune;</w:t>
            </w:r>
          </w:p>
        </w:tc>
        <w:tc>
          <w:tcPr>
            <w:tcW w:w="670" w:type="pct"/>
            <w:tcBorders>
              <w:top w:val="nil"/>
              <w:left w:val="nil"/>
              <w:bottom w:val="single" w:sz="4" w:space="0" w:color="auto"/>
              <w:right w:val="single" w:sz="4" w:space="0" w:color="auto"/>
            </w:tcBorders>
            <w:shd w:val="clear" w:color="auto" w:fill="auto"/>
            <w:hideMark/>
          </w:tcPr>
          <w:p w14:paraId="3E1E6D87"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OMV Petrom</w:t>
            </w:r>
          </w:p>
        </w:tc>
        <w:tc>
          <w:tcPr>
            <w:tcW w:w="1161" w:type="pct"/>
            <w:tcBorders>
              <w:top w:val="nil"/>
              <w:left w:val="nil"/>
              <w:bottom w:val="single" w:sz="4" w:space="0" w:color="auto"/>
              <w:right w:val="single" w:sz="4" w:space="0" w:color="auto"/>
            </w:tcBorders>
            <w:shd w:val="clear" w:color="auto" w:fill="auto"/>
            <w:hideMark/>
          </w:tcPr>
          <w:p w14:paraId="305C9A67"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Eliminare</w:t>
            </w:r>
          </w:p>
        </w:tc>
        <w:tc>
          <w:tcPr>
            <w:tcW w:w="930" w:type="pct"/>
            <w:tcBorders>
              <w:top w:val="nil"/>
              <w:left w:val="nil"/>
              <w:bottom w:val="nil"/>
              <w:right w:val="single" w:sz="4" w:space="0" w:color="auto"/>
            </w:tcBorders>
            <w:shd w:val="clear" w:color="auto" w:fill="auto"/>
            <w:hideMark/>
          </w:tcPr>
          <w:p w14:paraId="6B9C2A65"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Motivarea de la art. 6</w:t>
            </w:r>
          </w:p>
        </w:tc>
        <w:tc>
          <w:tcPr>
            <w:tcW w:w="790" w:type="pct"/>
            <w:tcBorders>
              <w:top w:val="nil"/>
              <w:left w:val="nil"/>
              <w:bottom w:val="nil"/>
              <w:right w:val="single" w:sz="4" w:space="0" w:color="auto"/>
            </w:tcBorders>
            <w:shd w:val="clear" w:color="auto" w:fill="auto"/>
            <w:hideMark/>
          </w:tcPr>
          <w:p w14:paraId="611361BF"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 eliminarea.</w:t>
            </w:r>
            <w:r w:rsidRPr="00066F52">
              <w:rPr>
                <w:rFonts w:ascii="Times New Roman" w:eastAsia="Times New Roman" w:hAnsi="Times New Roman" w:cs="Times New Roman"/>
                <w:color w:val="000000"/>
                <w:sz w:val="20"/>
                <w:szCs w:val="20"/>
                <w:lang w:eastAsia="ro-RO"/>
              </w:rPr>
              <w:br/>
              <w:t>Se reformulează "valoarea de inventar" cu "valoarea justificată conform evaluării/valoare netă contabilă"</w:t>
            </w:r>
            <w:r w:rsidRPr="00066F52">
              <w:rPr>
                <w:rFonts w:ascii="Times New Roman" w:eastAsia="Times New Roman" w:hAnsi="Times New Roman" w:cs="Times New Roman"/>
                <w:b/>
                <w:bCs/>
                <w:color w:val="000000"/>
                <w:sz w:val="20"/>
                <w:szCs w:val="20"/>
                <w:lang w:eastAsia="ro-RO"/>
              </w:rPr>
              <w:t>.</w:t>
            </w:r>
          </w:p>
        </w:tc>
      </w:tr>
      <w:tr w:rsidR="00066F52" w:rsidRPr="00066F52" w14:paraId="4D62EA53" w14:textId="77777777" w:rsidTr="00720795">
        <w:trPr>
          <w:trHeight w:val="528"/>
        </w:trPr>
        <w:tc>
          <w:tcPr>
            <w:tcW w:w="245" w:type="pct"/>
            <w:tcBorders>
              <w:top w:val="nil"/>
              <w:left w:val="single" w:sz="4" w:space="0" w:color="auto"/>
              <w:bottom w:val="single" w:sz="4" w:space="0" w:color="auto"/>
              <w:right w:val="single" w:sz="4" w:space="0" w:color="auto"/>
            </w:tcBorders>
            <w:shd w:val="clear" w:color="auto" w:fill="auto"/>
            <w:hideMark/>
          </w:tcPr>
          <w:p w14:paraId="07DC5624"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lastRenderedPageBreak/>
              <w:t>58</w:t>
            </w:r>
          </w:p>
        </w:tc>
        <w:tc>
          <w:tcPr>
            <w:tcW w:w="265" w:type="pct"/>
            <w:tcBorders>
              <w:top w:val="nil"/>
              <w:left w:val="nil"/>
              <w:bottom w:val="single" w:sz="4" w:space="0" w:color="auto"/>
              <w:right w:val="single" w:sz="4" w:space="0" w:color="auto"/>
            </w:tcBorders>
            <w:shd w:val="clear" w:color="auto" w:fill="auto"/>
            <w:hideMark/>
          </w:tcPr>
          <w:p w14:paraId="2AE15D73"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9</w:t>
            </w:r>
          </w:p>
        </w:tc>
        <w:tc>
          <w:tcPr>
            <w:tcW w:w="939" w:type="pct"/>
            <w:tcBorders>
              <w:top w:val="nil"/>
              <w:left w:val="nil"/>
              <w:bottom w:val="single" w:sz="4" w:space="0" w:color="auto"/>
              <w:right w:val="single" w:sz="4" w:space="0" w:color="auto"/>
            </w:tcBorders>
            <w:shd w:val="clear" w:color="auto" w:fill="auto"/>
            <w:hideMark/>
          </w:tcPr>
          <w:p w14:paraId="22CACB5D"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4.</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valoarea de inventar a mijlocului fix după reevaluare, dacă a fost reevaluat;</w:t>
            </w:r>
          </w:p>
        </w:tc>
        <w:tc>
          <w:tcPr>
            <w:tcW w:w="670" w:type="pct"/>
            <w:tcBorders>
              <w:top w:val="nil"/>
              <w:left w:val="nil"/>
              <w:bottom w:val="single" w:sz="4" w:space="0" w:color="auto"/>
              <w:right w:val="single" w:sz="4" w:space="0" w:color="auto"/>
            </w:tcBorders>
            <w:shd w:val="clear" w:color="auto" w:fill="auto"/>
            <w:hideMark/>
          </w:tcPr>
          <w:p w14:paraId="58E8664E"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OMV Petrom</w:t>
            </w:r>
          </w:p>
        </w:tc>
        <w:tc>
          <w:tcPr>
            <w:tcW w:w="1161" w:type="pct"/>
            <w:tcBorders>
              <w:top w:val="nil"/>
              <w:left w:val="nil"/>
              <w:bottom w:val="single" w:sz="4" w:space="0" w:color="auto"/>
              <w:right w:val="single" w:sz="4" w:space="0" w:color="auto"/>
            </w:tcBorders>
            <w:shd w:val="clear" w:color="auto" w:fill="auto"/>
            <w:hideMark/>
          </w:tcPr>
          <w:p w14:paraId="66A9AF07"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Eliminare</w:t>
            </w:r>
          </w:p>
        </w:tc>
        <w:tc>
          <w:tcPr>
            <w:tcW w:w="930" w:type="pct"/>
            <w:tcBorders>
              <w:top w:val="nil"/>
              <w:left w:val="nil"/>
              <w:bottom w:val="nil"/>
              <w:right w:val="single" w:sz="4" w:space="0" w:color="auto"/>
            </w:tcBorders>
            <w:shd w:val="clear" w:color="auto" w:fill="auto"/>
            <w:hideMark/>
          </w:tcPr>
          <w:p w14:paraId="16AC8094"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tcBorders>
              <w:top w:val="nil"/>
              <w:left w:val="nil"/>
              <w:bottom w:val="nil"/>
              <w:right w:val="single" w:sz="4" w:space="0" w:color="auto"/>
            </w:tcBorders>
            <w:shd w:val="clear" w:color="auto" w:fill="auto"/>
            <w:hideMark/>
          </w:tcPr>
          <w:p w14:paraId="72CD69DB"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Se acceptă</w:t>
            </w:r>
          </w:p>
        </w:tc>
      </w:tr>
      <w:tr w:rsidR="00066F52" w:rsidRPr="00066F52" w14:paraId="05B887B2" w14:textId="77777777" w:rsidTr="00720795">
        <w:trPr>
          <w:trHeight w:val="792"/>
        </w:trPr>
        <w:tc>
          <w:tcPr>
            <w:tcW w:w="245" w:type="pct"/>
            <w:tcBorders>
              <w:top w:val="nil"/>
              <w:left w:val="single" w:sz="4" w:space="0" w:color="auto"/>
              <w:bottom w:val="single" w:sz="4" w:space="0" w:color="auto"/>
              <w:right w:val="single" w:sz="4" w:space="0" w:color="auto"/>
            </w:tcBorders>
            <w:shd w:val="clear" w:color="auto" w:fill="auto"/>
            <w:hideMark/>
          </w:tcPr>
          <w:p w14:paraId="66C43E0D"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59</w:t>
            </w:r>
          </w:p>
        </w:tc>
        <w:tc>
          <w:tcPr>
            <w:tcW w:w="265" w:type="pct"/>
            <w:tcBorders>
              <w:top w:val="nil"/>
              <w:left w:val="nil"/>
              <w:bottom w:val="single" w:sz="4" w:space="0" w:color="auto"/>
              <w:right w:val="single" w:sz="4" w:space="0" w:color="auto"/>
            </w:tcBorders>
            <w:shd w:val="clear" w:color="auto" w:fill="auto"/>
            <w:hideMark/>
          </w:tcPr>
          <w:p w14:paraId="118D7901"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9</w:t>
            </w:r>
          </w:p>
        </w:tc>
        <w:tc>
          <w:tcPr>
            <w:tcW w:w="939" w:type="pct"/>
            <w:tcBorders>
              <w:top w:val="nil"/>
              <w:left w:val="nil"/>
              <w:bottom w:val="single" w:sz="4" w:space="0" w:color="auto"/>
              <w:right w:val="single" w:sz="4" w:space="0" w:color="auto"/>
            </w:tcBorders>
            <w:shd w:val="clear" w:color="auto" w:fill="auto"/>
            <w:hideMark/>
          </w:tcPr>
          <w:p w14:paraId="7B67CDA3"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5.</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durata normală de funcționare;</w:t>
            </w:r>
          </w:p>
        </w:tc>
        <w:tc>
          <w:tcPr>
            <w:tcW w:w="670" w:type="pct"/>
            <w:tcBorders>
              <w:top w:val="nil"/>
              <w:left w:val="nil"/>
              <w:bottom w:val="single" w:sz="4" w:space="0" w:color="auto"/>
              <w:right w:val="single" w:sz="4" w:space="0" w:color="auto"/>
            </w:tcBorders>
            <w:shd w:val="clear" w:color="auto" w:fill="auto"/>
            <w:hideMark/>
          </w:tcPr>
          <w:p w14:paraId="5848E1D8"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OMV Petrom</w:t>
            </w:r>
          </w:p>
        </w:tc>
        <w:tc>
          <w:tcPr>
            <w:tcW w:w="1161" w:type="pct"/>
            <w:tcBorders>
              <w:top w:val="nil"/>
              <w:left w:val="nil"/>
              <w:bottom w:val="single" w:sz="4" w:space="0" w:color="auto"/>
              <w:right w:val="single" w:sz="4" w:space="0" w:color="auto"/>
            </w:tcBorders>
            <w:shd w:val="clear" w:color="auto" w:fill="auto"/>
            <w:hideMark/>
          </w:tcPr>
          <w:p w14:paraId="7F0D1094"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Eliminare</w:t>
            </w:r>
          </w:p>
        </w:tc>
        <w:tc>
          <w:tcPr>
            <w:tcW w:w="930" w:type="pct"/>
            <w:tcBorders>
              <w:top w:val="nil"/>
              <w:left w:val="nil"/>
              <w:bottom w:val="single" w:sz="4" w:space="0" w:color="auto"/>
              <w:right w:val="single" w:sz="4" w:space="0" w:color="auto"/>
            </w:tcBorders>
            <w:shd w:val="clear" w:color="auto" w:fill="auto"/>
            <w:hideMark/>
          </w:tcPr>
          <w:p w14:paraId="3341FA4C"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tcBorders>
              <w:top w:val="nil"/>
              <w:left w:val="nil"/>
              <w:bottom w:val="single" w:sz="4" w:space="0" w:color="auto"/>
              <w:right w:val="single" w:sz="4" w:space="0" w:color="auto"/>
            </w:tcBorders>
            <w:shd w:val="clear" w:color="auto" w:fill="auto"/>
            <w:hideMark/>
          </w:tcPr>
          <w:p w14:paraId="052C0B42"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 xml:space="preserve">Nu se acceptă. </w:t>
            </w:r>
            <w:r w:rsidRPr="00066F52">
              <w:rPr>
                <w:rFonts w:ascii="Times New Roman" w:eastAsia="Times New Roman" w:hAnsi="Times New Roman" w:cs="Times New Roman"/>
                <w:color w:val="000000"/>
                <w:sz w:val="20"/>
                <w:szCs w:val="20"/>
                <w:lang w:eastAsia="ro-RO"/>
              </w:rPr>
              <w:t>Se reformulează "durata rămasă de amortizat/durata de utilizare confirmată de evaluatorul independent"</w:t>
            </w:r>
          </w:p>
        </w:tc>
      </w:tr>
      <w:tr w:rsidR="00066F52" w:rsidRPr="00066F52" w14:paraId="60EA6D34" w14:textId="77777777" w:rsidTr="00720795">
        <w:trPr>
          <w:trHeight w:val="1584"/>
        </w:trPr>
        <w:tc>
          <w:tcPr>
            <w:tcW w:w="245" w:type="pct"/>
            <w:tcBorders>
              <w:top w:val="nil"/>
              <w:left w:val="single" w:sz="4" w:space="0" w:color="auto"/>
              <w:bottom w:val="single" w:sz="4" w:space="0" w:color="auto"/>
              <w:right w:val="single" w:sz="4" w:space="0" w:color="auto"/>
            </w:tcBorders>
            <w:shd w:val="clear" w:color="auto" w:fill="auto"/>
            <w:hideMark/>
          </w:tcPr>
          <w:p w14:paraId="133A6B4B"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60</w:t>
            </w:r>
          </w:p>
        </w:tc>
        <w:tc>
          <w:tcPr>
            <w:tcW w:w="265" w:type="pct"/>
            <w:tcBorders>
              <w:top w:val="nil"/>
              <w:left w:val="nil"/>
              <w:bottom w:val="single" w:sz="4" w:space="0" w:color="auto"/>
              <w:right w:val="single" w:sz="4" w:space="0" w:color="auto"/>
            </w:tcBorders>
            <w:shd w:val="clear" w:color="auto" w:fill="auto"/>
            <w:hideMark/>
          </w:tcPr>
          <w:p w14:paraId="4332D57E"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9</w:t>
            </w:r>
          </w:p>
        </w:tc>
        <w:tc>
          <w:tcPr>
            <w:tcW w:w="939" w:type="pct"/>
            <w:tcBorders>
              <w:top w:val="nil"/>
              <w:left w:val="nil"/>
              <w:bottom w:val="single" w:sz="4" w:space="0" w:color="auto"/>
              <w:right w:val="single" w:sz="4" w:space="0" w:color="auto"/>
            </w:tcBorders>
            <w:shd w:val="clear" w:color="auto" w:fill="auto"/>
            <w:hideMark/>
          </w:tcPr>
          <w:p w14:paraId="103513ED"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6.</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valoarea amortizării anuale;</w:t>
            </w:r>
          </w:p>
        </w:tc>
        <w:tc>
          <w:tcPr>
            <w:tcW w:w="670" w:type="pct"/>
            <w:tcBorders>
              <w:top w:val="nil"/>
              <w:left w:val="nil"/>
              <w:bottom w:val="single" w:sz="4" w:space="0" w:color="auto"/>
              <w:right w:val="single" w:sz="4" w:space="0" w:color="auto"/>
            </w:tcBorders>
            <w:shd w:val="clear" w:color="auto" w:fill="auto"/>
            <w:hideMark/>
          </w:tcPr>
          <w:p w14:paraId="5F4A13B5"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OMV Petrom</w:t>
            </w:r>
          </w:p>
        </w:tc>
        <w:tc>
          <w:tcPr>
            <w:tcW w:w="1161" w:type="pct"/>
            <w:tcBorders>
              <w:top w:val="nil"/>
              <w:left w:val="nil"/>
              <w:bottom w:val="single" w:sz="4" w:space="0" w:color="auto"/>
              <w:right w:val="single" w:sz="4" w:space="0" w:color="auto"/>
            </w:tcBorders>
            <w:shd w:val="clear" w:color="auto" w:fill="auto"/>
            <w:hideMark/>
          </w:tcPr>
          <w:p w14:paraId="37E2F1D4"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Eliminare</w:t>
            </w:r>
          </w:p>
        </w:tc>
        <w:tc>
          <w:tcPr>
            <w:tcW w:w="930" w:type="pct"/>
            <w:tcBorders>
              <w:top w:val="nil"/>
              <w:left w:val="nil"/>
              <w:bottom w:val="single" w:sz="4" w:space="0" w:color="auto"/>
              <w:right w:val="single" w:sz="4" w:space="0" w:color="auto"/>
            </w:tcBorders>
            <w:shd w:val="clear" w:color="auto" w:fill="auto"/>
            <w:hideMark/>
          </w:tcPr>
          <w:p w14:paraId="18641B26"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tcBorders>
              <w:top w:val="nil"/>
              <w:left w:val="nil"/>
              <w:bottom w:val="single" w:sz="4" w:space="0" w:color="auto"/>
              <w:right w:val="single" w:sz="4" w:space="0" w:color="auto"/>
            </w:tcBorders>
            <w:shd w:val="clear" w:color="auto" w:fill="auto"/>
            <w:hideMark/>
          </w:tcPr>
          <w:p w14:paraId="53723F12" w14:textId="27B13B96"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Se acceptă.</w:t>
            </w:r>
            <w:r w:rsidRPr="00066F52">
              <w:rPr>
                <w:rFonts w:ascii="Times New Roman" w:eastAsia="Times New Roman" w:hAnsi="Times New Roman" w:cs="Times New Roman"/>
                <w:color w:val="000000"/>
                <w:sz w:val="20"/>
                <w:szCs w:val="20"/>
                <w:lang w:eastAsia="ro-RO"/>
              </w:rPr>
              <w:br/>
              <w:t>La punctul 6, în loc de valoarea amortizării anuale, se va prevedea "</w:t>
            </w:r>
            <w:bookmarkStart w:id="3" w:name="_Hlk54382987"/>
            <w:r w:rsidRPr="00066F52">
              <w:rPr>
                <w:rFonts w:ascii="Times New Roman" w:eastAsia="Times New Roman" w:hAnsi="Times New Roman" w:cs="Times New Roman"/>
                <w:color w:val="000000"/>
                <w:sz w:val="20"/>
                <w:szCs w:val="20"/>
                <w:lang w:eastAsia="ro-RO"/>
              </w:rPr>
              <w:t>declarație pe proprie răspundere că valoarea justificată nu depășește valoarea netă contabilă în situațiile prevăzute la art. 6 alin. (3)</w:t>
            </w:r>
            <w:bookmarkEnd w:id="3"/>
            <w:r w:rsidRPr="00066F52">
              <w:rPr>
                <w:rFonts w:ascii="Times New Roman" w:eastAsia="Times New Roman" w:hAnsi="Times New Roman" w:cs="Times New Roman"/>
                <w:color w:val="000000"/>
                <w:sz w:val="20"/>
                <w:szCs w:val="20"/>
                <w:lang w:eastAsia="ro-RO"/>
              </w:rPr>
              <w:t>"</w:t>
            </w:r>
          </w:p>
        </w:tc>
      </w:tr>
      <w:tr w:rsidR="00066F52" w:rsidRPr="00066F52" w14:paraId="592BCE8A" w14:textId="77777777" w:rsidTr="00720795">
        <w:trPr>
          <w:trHeight w:val="2112"/>
        </w:trPr>
        <w:tc>
          <w:tcPr>
            <w:tcW w:w="245" w:type="pct"/>
            <w:tcBorders>
              <w:top w:val="nil"/>
              <w:left w:val="single" w:sz="4" w:space="0" w:color="auto"/>
              <w:bottom w:val="single" w:sz="4" w:space="0" w:color="auto"/>
              <w:right w:val="single" w:sz="4" w:space="0" w:color="auto"/>
            </w:tcBorders>
            <w:shd w:val="clear" w:color="auto" w:fill="auto"/>
            <w:hideMark/>
          </w:tcPr>
          <w:p w14:paraId="1C6C51AA"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61</w:t>
            </w:r>
          </w:p>
        </w:tc>
        <w:tc>
          <w:tcPr>
            <w:tcW w:w="265" w:type="pct"/>
            <w:tcBorders>
              <w:top w:val="nil"/>
              <w:left w:val="nil"/>
              <w:bottom w:val="single" w:sz="4" w:space="0" w:color="auto"/>
              <w:right w:val="single" w:sz="4" w:space="0" w:color="auto"/>
            </w:tcBorders>
            <w:shd w:val="clear" w:color="auto" w:fill="auto"/>
            <w:hideMark/>
          </w:tcPr>
          <w:p w14:paraId="02859E35"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9</w:t>
            </w:r>
          </w:p>
        </w:tc>
        <w:tc>
          <w:tcPr>
            <w:tcW w:w="939" w:type="pct"/>
            <w:vMerge w:val="restart"/>
            <w:tcBorders>
              <w:top w:val="nil"/>
              <w:left w:val="single" w:sz="4" w:space="0" w:color="auto"/>
              <w:bottom w:val="single" w:sz="4" w:space="0" w:color="auto"/>
              <w:right w:val="single" w:sz="4" w:space="0" w:color="auto"/>
            </w:tcBorders>
            <w:shd w:val="clear" w:color="auto" w:fill="auto"/>
            <w:hideMark/>
          </w:tcPr>
          <w:p w14:paraId="5B131A9D"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e)</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documentele ce fac dovada că persoana fizică/juridică este deținătoare a capacităților energetice de distribuție vândute operatorului de distribuție concesionar;</w:t>
            </w:r>
          </w:p>
        </w:tc>
        <w:tc>
          <w:tcPr>
            <w:tcW w:w="670" w:type="pct"/>
            <w:tcBorders>
              <w:top w:val="nil"/>
              <w:left w:val="nil"/>
              <w:bottom w:val="single" w:sz="4" w:space="0" w:color="auto"/>
              <w:right w:val="single" w:sz="4" w:space="0" w:color="auto"/>
            </w:tcBorders>
            <w:shd w:val="clear" w:color="auto" w:fill="auto"/>
            <w:hideMark/>
          </w:tcPr>
          <w:p w14:paraId="06F0DE32"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6188D085"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xml:space="preserve">e) documentele ce fac dovada că persoana fizică/juridică este deţinătoare a capacităţilor energetice care urmeaza a fi vândute operatorului de distribuţie concesionar: </w:t>
            </w:r>
            <w:r w:rsidRPr="00066F52">
              <w:rPr>
                <w:rFonts w:ascii="Times New Roman" w:eastAsia="Times New Roman" w:hAnsi="Times New Roman" w:cs="Times New Roman"/>
                <w:color w:val="FF0000"/>
                <w:sz w:val="20"/>
                <w:szCs w:val="20"/>
                <w:lang w:eastAsia="ro-RO"/>
              </w:rPr>
              <w:t>act de proprietate (inclusiv extras de carte funciară în cazul în care construcţia a fost intabulată) şi, după caz, alte documente doveditoare (declaraţii notariale, autorizaţie de construire, procese-verbale de recepţie, de punere în funcţiune, de predare-primire a instalaţiilor etc.);</w:t>
            </w:r>
          </w:p>
        </w:tc>
        <w:tc>
          <w:tcPr>
            <w:tcW w:w="930" w:type="pct"/>
            <w:tcBorders>
              <w:top w:val="nil"/>
              <w:left w:val="nil"/>
              <w:bottom w:val="single" w:sz="4" w:space="0" w:color="auto"/>
              <w:right w:val="single" w:sz="4" w:space="0" w:color="auto"/>
            </w:tcBorders>
            <w:shd w:val="clear" w:color="auto" w:fill="auto"/>
            <w:hideMark/>
          </w:tcPr>
          <w:p w14:paraId="58B46C89"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tcBorders>
              <w:top w:val="nil"/>
              <w:left w:val="nil"/>
              <w:bottom w:val="single" w:sz="4" w:space="0" w:color="auto"/>
              <w:right w:val="single" w:sz="4" w:space="0" w:color="auto"/>
            </w:tcBorders>
            <w:shd w:val="clear" w:color="auto" w:fill="auto"/>
            <w:hideMark/>
          </w:tcPr>
          <w:p w14:paraId="1CB4A507"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O asemenea nominalizare poate avea caracter restrictiv. În procesul de negociere, părțile convin asupra documentelor necesare și suficiente pentru perfectarea tranzacției.</w:t>
            </w:r>
          </w:p>
        </w:tc>
      </w:tr>
      <w:tr w:rsidR="00066F52" w:rsidRPr="00066F52" w14:paraId="04A5DBF2" w14:textId="77777777" w:rsidTr="00720795">
        <w:trPr>
          <w:trHeight w:val="2376"/>
        </w:trPr>
        <w:tc>
          <w:tcPr>
            <w:tcW w:w="245" w:type="pct"/>
            <w:tcBorders>
              <w:top w:val="nil"/>
              <w:left w:val="single" w:sz="4" w:space="0" w:color="auto"/>
              <w:bottom w:val="single" w:sz="4" w:space="0" w:color="auto"/>
              <w:right w:val="single" w:sz="4" w:space="0" w:color="auto"/>
            </w:tcBorders>
            <w:shd w:val="clear" w:color="auto" w:fill="auto"/>
            <w:hideMark/>
          </w:tcPr>
          <w:p w14:paraId="009F6B8A"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lastRenderedPageBreak/>
              <w:t>62</w:t>
            </w:r>
          </w:p>
        </w:tc>
        <w:tc>
          <w:tcPr>
            <w:tcW w:w="265" w:type="pct"/>
            <w:tcBorders>
              <w:top w:val="nil"/>
              <w:left w:val="nil"/>
              <w:bottom w:val="single" w:sz="4" w:space="0" w:color="auto"/>
              <w:right w:val="single" w:sz="4" w:space="0" w:color="auto"/>
            </w:tcBorders>
            <w:shd w:val="clear" w:color="auto" w:fill="auto"/>
            <w:hideMark/>
          </w:tcPr>
          <w:p w14:paraId="7EED33B8"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9</w:t>
            </w:r>
          </w:p>
        </w:tc>
        <w:tc>
          <w:tcPr>
            <w:tcW w:w="939" w:type="pct"/>
            <w:vMerge/>
            <w:tcBorders>
              <w:top w:val="nil"/>
              <w:left w:val="single" w:sz="4" w:space="0" w:color="auto"/>
              <w:bottom w:val="single" w:sz="4" w:space="0" w:color="auto"/>
              <w:right w:val="single" w:sz="4" w:space="0" w:color="auto"/>
            </w:tcBorders>
            <w:vAlign w:val="center"/>
            <w:hideMark/>
          </w:tcPr>
          <w:p w14:paraId="6CE60896"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p>
        </w:tc>
        <w:tc>
          <w:tcPr>
            <w:tcW w:w="670" w:type="pct"/>
            <w:tcBorders>
              <w:top w:val="nil"/>
              <w:left w:val="nil"/>
              <w:bottom w:val="single" w:sz="4" w:space="0" w:color="auto"/>
              <w:right w:val="single" w:sz="4" w:space="0" w:color="auto"/>
            </w:tcBorders>
            <w:shd w:val="clear" w:color="auto" w:fill="auto"/>
            <w:hideMark/>
          </w:tcPr>
          <w:p w14:paraId="4FE459B4"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e-Distribuție</w:t>
            </w:r>
          </w:p>
        </w:tc>
        <w:tc>
          <w:tcPr>
            <w:tcW w:w="1161" w:type="pct"/>
            <w:tcBorders>
              <w:top w:val="nil"/>
              <w:left w:val="nil"/>
              <w:bottom w:val="single" w:sz="4" w:space="0" w:color="auto"/>
              <w:right w:val="single" w:sz="4" w:space="0" w:color="auto"/>
            </w:tcBorders>
            <w:shd w:val="clear" w:color="auto" w:fill="auto"/>
            <w:hideMark/>
          </w:tcPr>
          <w:p w14:paraId="065227EF" w14:textId="77777777" w:rsidR="00066F52" w:rsidRPr="00066F52" w:rsidRDefault="00066F52" w:rsidP="00066F52">
            <w:pPr>
              <w:spacing w:after="0" w:line="240" w:lineRule="auto"/>
              <w:jc w:val="both"/>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xml:space="preserve">e)      </w:t>
            </w:r>
            <w:r w:rsidRPr="00066F52">
              <w:rPr>
                <w:rFonts w:ascii="Times New Roman" w:eastAsia="Times New Roman" w:hAnsi="Times New Roman" w:cs="Times New Roman"/>
                <w:color w:val="FF0000"/>
                <w:sz w:val="20"/>
                <w:szCs w:val="20"/>
                <w:lang w:eastAsia="ro-RO"/>
              </w:rPr>
              <w:t xml:space="preserve">extrase de carte funciara </w:t>
            </w:r>
            <w:r w:rsidRPr="00066F52">
              <w:rPr>
                <w:rFonts w:ascii="Times New Roman" w:eastAsia="Times New Roman" w:hAnsi="Times New Roman" w:cs="Times New Roman"/>
                <w:color w:val="000000"/>
                <w:sz w:val="20"/>
                <w:szCs w:val="20"/>
                <w:lang w:eastAsia="ro-RO"/>
              </w:rPr>
              <w:t xml:space="preserve">ce fac dovada că persoana fizică/juridică este </w:t>
            </w:r>
            <w:r w:rsidRPr="00066F52">
              <w:rPr>
                <w:rFonts w:ascii="Times New Roman" w:eastAsia="Times New Roman" w:hAnsi="Times New Roman" w:cs="Times New Roman"/>
                <w:color w:val="FF0000"/>
                <w:sz w:val="20"/>
                <w:szCs w:val="20"/>
                <w:lang w:eastAsia="ro-RO"/>
              </w:rPr>
              <w:t>proprietara</w:t>
            </w:r>
            <w:r w:rsidRPr="00066F52">
              <w:rPr>
                <w:rFonts w:ascii="Times New Roman" w:eastAsia="Times New Roman" w:hAnsi="Times New Roman" w:cs="Times New Roman"/>
                <w:color w:val="000000"/>
                <w:sz w:val="20"/>
                <w:szCs w:val="20"/>
                <w:lang w:eastAsia="ro-RO"/>
              </w:rPr>
              <w:t xml:space="preserve"> a capacităților energetice de distribuție vândute operatorului de distribuție concesionar;</w:t>
            </w:r>
          </w:p>
        </w:tc>
        <w:tc>
          <w:tcPr>
            <w:tcW w:w="930" w:type="pct"/>
            <w:tcBorders>
              <w:top w:val="nil"/>
              <w:left w:val="nil"/>
              <w:bottom w:val="single" w:sz="4" w:space="0" w:color="auto"/>
              <w:right w:val="single" w:sz="4" w:space="0" w:color="auto"/>
            </w:tcBorders>
            <w:shd w:val="clear" w:color="auto" w:fill="auto"/>
            <w:hideMark/>
          </w:tcPr>
          <w:p w14:paraId="18D2B1A0"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Pentru evitarea oricarui dubiu ce apare adesea in practica din analiza documentelor de proprietate. Acest aspect ar fi de natura a responsabiliza pe cei ce doresc acest transfer. ODC nu poate fi mediator intre diverse parti care pot pretinde proprietate, deci este necesar sa putem prelua pe baza unei situatii certe si indubitabile de proprietate. De aceea este necesar extrasul CF ce atesta proprietatea. Asa cum s-ar intampla la orice vanzare in conditii normale.</w:t>
            </w:r>
          </w:p>
        </w:tc>
        <w:tc>
          <w:tcPr>
            <w:tcW w:w="790" w:type="pct"/>
            <w:tcBorders>
              <w:top w:val="nil"/>
              <w:left w:val="nil"/>
              <w:bottom w:val="single" w:sz="4" w:space="0" w:color="auto"/>
              <w:right w:val="single" w:sz="4" w:space="0" w:color="auto"/>
            </w:tcBorders>
            <w:shd w:val="clear" w:color="auto" w:fill="auto"/>
            <w:hideMark/>
          </w:tcPr>
          <w:p w14:paraId="65F50AA2"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Nu e atributul unei regelementări ANRE să nominalizeze tipul de document justificativ.</w:t>
            </w:r>
          </w:p>
        </w:tc>
      </w:tr>
      <w:tr w:rsidR="00066F52" w:rsidRPr="00066F52" w14:paraId="6768CF59" w14:textId="77777777" w:rsidTr="00720795">
        <w:trPr>
          <w:trHeight w:val="1848"/>
        </w:trPr>
        <w:tc>
          <w:tcPr>
            <w:tcW w:w="245" w:type="pct"/>
            <w:tcBorders>
              <w:top w:val="nil"/>
              <w:left w:val="single" w:sz="4" w:space="0" w:color="auto"/>
              <w:bottom w:val="single" w:sz="4" w:space="0" w:color="auto"/>
              <w:right w:val="single" w:sz="4" w:space="0" w:color="auto"/>
            </w:tcBorders>
            <w:shd w:val="clear" w:color="auto" w:fill="auto"/>
            <w:hideMark/>
          </w:tcPr>
          <w:p w14:paraId="69F38663"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63</w:t>
            </w:r>
          </w:p>
        </w:tc>
        <w:tc>
          <w:tcPr>
            <w:tcW w:w="265" w:type="pct"/>
            <w:tcBorders>
              <w:top w:val="nil"/>
              <w:left w:val="nil"/>
              <w:bottom w:val="single" w:sz="4" w:space="0" w:color="auto"/>
              <w:right w:val="single" w:sz="4" w:space="0" w:color="auto"/>
            </w:tcBorders>
            <w:shd w:val="clear" w:color="auto" w:fill="auto"/>
            <w:hideMark/>
          </w:tcPr>
          <w:p w14:paraId="3E777C00"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9</w:t>
            </w:r>
          </w:p>
        </w:tc>
        <w:tc>
          <w:tcPr>
            <w:tcW w:w="939" w:type="pct"/>
            <w:tcBorders>
              <w:top w:val="nil"/>
              <w:left w:val="nil"/>
              <w:bottom w:val="single" w:sz="4" w:space="0" w:color="auto"/>
              <w:right w:val="single" w:sz="4" w:space="0" w:color="auto"/>
            </w:tcBorders>
            <w:shd w:val="clear" w:color="auto" w:fill="auto"/>
            <w:hideMark/>
          </w:tcPr>
          <w:p w14:paraId="08DCE565"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670" w:type="pct"/>
            <w:tcBorders>
              <w:top w:val="nil"/>
              <w:left w:val="nil"/>
              <w:bottom w:val="single" w:sz="4" w:space="0" w:color="auto"/>
              <w:right w:val="single" w:sz="4" w:space="0" w:color="auto"/>
            </w:tcBorders>
            <w:shd w:val="clear" w:color="auto" w:fill="auto"/>
            <w:noWrap/>
            <w:hideMark/>
          </w:tcPr>
          <w:p w14:paraId="1D58FB8E"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e-Distribuție</w:t>
            </w:r>
          </w:p>
        </w:tc>
        <w:tc>
          <w:tcPr>
            <w:tcW w:w="1161" w:type="pct"/>
            <w:tcBorders>
              <w:top w:val="nil"/>
              <w:left w:val="nil"/>
              <w:bottom w:val="single" w:sz="4" w:space="0" w:color="auto"/>
              <w:right w:val="single" w:sz="4" w:space="0" w:color="auto"/>
            </w:tcBorders>
            <w:shd w:val="clear" w:color="auto" w:fill="auto"/>
            <w:hideMark/>
          </w:tcPr>
          <w:p w14:paraId="79B74256"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Propunere de completare cu o literă nouă:</w:t>
            </w:r>
            <w:r w:rsidRPr="00066F52">
              <w:rPr>
                <w:rFonts w:ascii="Times New Roman" w:eastAsia="Times New Roman" w:hAnsi="Times New Roman" w:cs="Times New Roman"/>
                <w:color w:val="FF0000"/>
                <w:sz w:val="20"/>
                <w:szCs w:val="20"/>
                <w:lang w:eastAsia="ro-RO"/>
              </w:rPr>
              <w:br/>
              <w:t>g) Acordul in forma autentica al proprietarului terenului pe care se afla amplasate toate capacitățile energetice de distribuție cu privire la recunoasterea dreptului de superficie, uz si servitute in favoarea operatorului de distribuie concesionar relativ la capacitatile energetice transferate</w:t>
            </w:r>
          </w:p>
        </w:tc>
        <w:tc>
          <w:tcPr>
            <w:tcW w:w="930" w:type="pct"/>
            <w:tcBorders>
              <w:top w:val="nil"/>
              <w:left w:val="nil"/>
              <w:bottom w:val="single" w:sz="4" w:space="0" w:color="auto"/>
              <w:right w:val="single" w:sz="4" w:space="0" w:color="auto"/>
            </w:tcBorders>
            <w:shd w:val="clear" w:color="auto" w:fill="auto"/>
            <w:noWrap/>
            <w:hideMark/>
          </w:tcPr>
          <w:p w14:paraId="0678CF96"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790" w:type="pct"/>
            <w:tcBorders>
              <w:top w:val="nil"/>
              <w:left w:val="nil"/>
              <w:bottom w:val="single" w:sz="4" w:space="0" w:color="auto"/>
              <w:right w:val="single" w:sz="4" w:space="0" w:color="auto"/>
            </w:tcBorders>
            <w:shd w:val="clear" w:color="auto" w:fill="auto"/>
            <w:hideMark/>
          </w:tcPr>
          <w:p w14:paraId="30370332" w14:textId="154FAD20" w:rsidR="00492A82" w:rsidRPr="00492A82" w:rsidRDefault="00A86F4D" w:rsidP="00492A82">
            <w:pPr>
              <w:spacing w:after="0" w:line="240" w:lineRule="auto"/>
              <w:rPr>
                <w:rFonts w:ascii="Times New Roman" w:eastAsia="Times New Roman" w:hAnsi="Times New Roman" w:cs="Times New Roman"/>
                <w:b/>
                <w:bCs/>
                <w:color w:val="000000"/>
                <w:sz w:val="20"/>
                <w:szCs w:val="20"/>
                <w:lang w:eastAsia="ro-RO"/>
              </w:rPr>
            </w:pPr>
            <w:r>
              <w:rPr>
                <w:rFonts w:ascii="Times New Roman" w:eastAsia="Times New Roman" w:hAnsi="Times New Roman" w:cs="Times New Roman"/>
                <w:b/>
                <w:bCs/>
                <w:color w:val="000000"/>
                <w:sz w:val="20"/>
                <w:szCs w:val="20"/>
                <w:lang w:eastAsia="ro-RO"/>
              </w:rPr>
              <w:t>Se</w:t>
            </w:r>
            <w:r w:rsidR="00492A82" w:rsidRPr="00492A82">
              <w:rPr>
                <w:rFonts w:ascii="Times New Roman" w:eastAsia="Times New Roman" w:hAnsi="Times New Roman" w:cs="Times New Roman"/>
                <w:b/>
                <w:bCs/>
                <w:color w:val="000000"/>
                <w:sz w:val="20"/>
                <w:szCs w:val="20"/>
                <w:lang w:eastAsia="ro-RO"/>
              </w:rPr>
              <w:t xml:space="preserve"> acceptă.</w:t>
            </w:r>
          </w:p>
          <w:p w14:paraId="63C06829" w14:textId="044D4602" w:rsidR="00066F52" w:rsidRPr="00492A82" w:rsidRDefault="00A86F4D" w:rsidP="00AB48F5">
            <w:pPr>
              <w:spacing w:after="0" w:line="240" w:lineRule="auto"/>
              <w:rPr>
                <w:rFonts w:ascii="Times New Roman" w:eastAsia="Times New Roman" w:hAnsi="Times New Roman" w:cs="Times New Roman"/>
                <w:color w:val="000000"/>
                <w:sz w:val="20"/>
                <w:szCs w:val="20"/>
                <w:lang w:eastAsia="ro-RO"/>
              </w:rPr>
            </w:pPr>
            <w:r>
              <w:rPr>
                <w:rFonts w:ascii="Times New Roman" w:eastAsia="Times New Roman" w:hAnsi="Times New Roman" w:cs="Times New Roman"/>
                <w:color w:val="000000"/>
                <w:sz w:val="20"/>
                <w:szCs w:val="20"/>
                <w:lang w:eastAsia="ro-RO"/>
              </w:rPr>
              <w:t>S-a adaugat o litera noua, litera g) la art. 9 alin (1), astfel:</w:t>
            </w:r>
            <w:r>
              <w:t xml:space="preserve"> „</w:t>
            </w:r>
            <w:r w:rsidRPr="00A86F4D">
              <w:rPr>
                <w:rFonts w:ascii="Times New Roman" w:eastAsia="Times New Roman" w:hAnsi="Times New Roman" w:cs="Times New Roman"/>
                <w:color w:val="FF0000"/>
                <w:sz w:val="20"/>
                <w:szCs w:val="20"/>
                <w:lang w:eastAsia="ro-RO"/>
              </w:rPr>
              <w:t>g)</w:t>
            </w:r>
            <w:r w:rsidR="00AB48F5">
              <w:rPr>
                <w:rFonts w:ascii="Times New Roman" w:eastAsia="Times New Roman" w:hAnsi="Times New Roman" w:cs="Times New Roman"/>
                <w:color w:val="FF0000"/>
                <w:sz w:val="20"/>
                <w:szCs w:val="20"/>
                <w:lang w:eastAsia="ro-RO"/>
              </w:rPr>
              <w:t xml:space="preserve"> </w:t>
            </w:r>
            <w:r w:rsidRPr="00A86F4D">
              <w:rPr>
                <w:rFonts w:ascii="Times New Roman" w:eastAsia="Times New Roman" w:hAnsi="Times New Roman" w:cs="Times New Roman"/>
                <w:color w:val="FF0000"/>
                <w:sz w:val="20"/>
                <w:szCs w:val="20"/>
                <w:lang w:eastAsia="ro-RO"/>
              </w:rPr>
              <w:t>Acord în formă autentică pentru recunoașterea dreptului de uz și servitute în favoarea operatorului de distribuție concesionar pentru capacitățile energetice de distribuție transferate, în cazul în care persoana fizică/juridică este proprietarul terenului pe care se află respectivele capacități energetice de distribuție.”</w:t>
            </w:r>
          </w:p>
        </w:tc>
      </w:tr>
      <w:tr w:rsidR="00066F52" w:rsidRPr="00066F52" w14:paraId="2BB59B69" w14:textId="77777777" w:rsidTr="00720795">
        <w:trPr>
          <w:trHeight w:val="1056"/>
        </w:trPr>
        <w:tc>
          <w:tcPr>
            <w:tcW w:w="245" w:type="pct"/>
            <w:tcBorders>
              <w:top w:val="nil"/>
              <w:left w:val="single" w:sz="4" w:space="0" w:color="auto"/>
              <w:bottom w:val="single" w:sz="4" w:space="0" w:color="auto"/>
              <w:right w:val="single" w:sz="4" w:space="0" w:color="auto"/>
            </w:tcBorders>
            <w:shd w:val="clear" w:color="auto" w:fill="auto"/>
            <w:hideMark/>
          </w:tcPr>
          <w:p w14:paraId="3AE77D19"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64</w:t>
            </w:r>
          </w:p>
        </w:tc>
        <w:tc>
          <w:tcPr>
            <w:tcW w:w="265" w:type="pct"/>
            <w:tcBorders>
              <w:top w:val="nil"/>
              <w:left w:val="nil"/>
              <w:bottom w:val="single" w:sz="4" w:space="0" w:color="auto"/>
              <w:right w:val="single" w:sz="4" w:space="0" w:color="auto"/>
            </w:tcBorders>
            <w:shd w:val="clear" w:color="auto" w:fill="auto"/>
            <w:hideMark/>
          </w:tcPr>
          <w:p w14:paraId="5DB6F3E8"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9</w:t>
            </w:r>
          </w:p>
        </w:tc>
        <w:tc>
          <w:tcPr>
            <w:tcW w:w="939" w:type="pct"/>
            <w:tcBorders>
              <w:top w:val="nil"/>
              <w:left w:val="nil"/>
              <w:bottom w:val="single" w:sz="4" w:space="0" w:color="auto"/>
              <w:right w:val="single" w:sz="4" w:space="0" w:color="auto"/>
            </w:tcBorders>
            <w:shd w:val="clear" w:color="auto" w:fill="auto"/>
            <w:hideMark/>
          </w:tcPr>
          <w:p w14:paraId="4EB80497"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670" w:type="pct"/>
            <w:tcBorders>
              <w:top w:val="nil"/>
              <w:left w:val="nil"/>
              <w:bottom w:val="single" w:sz="4" w:space="0" w:color="auto"/>
              <w:right w:val="single" w:sz="4" w:space="0" w:color="auto"/>
            </w:tcBorders>
            <w:shd w:val="clear" w:color="auto" w:fill="auto"/>
            <w:hideMark/>
          </w:tcPr>
          <w:p w14:paraId="0494F19F"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61060F4A"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Propunere de completare cu 2 litere noi:</w:t>
            </w:r>
            <w:r w:rsidRPr="00066F52">
              <w:rPr>
                <w:rFonts w:ascii="Times New Roman" w:eastAsia="Times New Roman" w:hAnsi="Times New Roman" w:cs="Times New Roman"/>
                <w:color w:val="FF0000"/>
                <w:sz w:val="20"/>
                <w:szCs w:val="20"/>
                <w:lang w:eastAsia="ro-RO"/>
              </w:rPr>
              <w:br/>
              <w:t>(g) autorizaţia de construire a reţelei electrice, inclusiv documentaţia tehnică care a stat la baza obţinerii acesteia</w:t>
            </w:r>
          </w:p>
        </w:tc>
        <w:tc>
          <w:tcPr>
            <w:tcW w:w="930" w:type="pct"/>
            <w:tcBorders>
              <w:top w:val="nil"/>
              <w:left w:val="nil"/>
              <w:bottom w:val="single" w:sz="4" w:space="0" w:color="auto"/>
              <w:right w:val="single" w:sz="4" w:space="0" w:color="auto"/>
            </w:tcBorders>
            <w:shd w:val="clear" w:color="auto" w:fill="auto"/>
            <w:hideMark/>
          </w:tcPr>
          <w:p w14:paraId="4085825E"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Obligație legală de a deține AC pentru construcții sau certificat/adeverință de edificare a construcției.</w:t>
            </w:r>
          </w:p>
        </w:tc>
        <w:tc>
          <w:tcPr>
            <w:tcW w:w="790" w:type="pct"/>
            <w:tcBorders>
              <w:top w:val="nil"/>
              <w:left w:val="nil"/>
              <w:bottom w:val="single" w:sz="4" w:space="0" w:color="auto"/>
              <w:right w:val="single" w:sz="4" w:space="0" w:color="auto"/>
            </w:tcBorders>
            <w:shd w:val="clear" w:color="auto" w:fill="auto"/>
            <w:hideMark/>
          </w:tcPr>
          <w:p w14:paraId="5CE72CFC"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color w:val="000000"/>
                <w:sz w:val="20"/>
                <w:szCs w:val="20"/>
                <w:lang w:eastAsia="ro-RO"/>
              </w:rPr>
              <w:br/>
              <w:t>Sunt prevăzute documente care atestă fac dovada că persoana deține documente de proprietate (lit. e))</w:t>
            </w:r>
          </w:p>
        </w:tc>
      </w:tr>
      <w:tr w:rsidR="00066F52" w:rsidRPr="00066F52" w14:paraId="0D7BA0A3" w14:textId="77777777" w:rsidTr="00720795">
        <w:trPr>
          <w:trHeight w:val="1848"/>
        </w:trPr>
        <w:tc>
          <w:tcPr>
            <w:tcW w:w="245" w:type="pct"/>
            <w:tcBorders>
              <w:top w:val="nil"/>
              <w:left w:val="single" w:sz="4" w:space="0" w:color="auto"/>
              <w:bottom w:val="single" w:sz="4" w:space="0" w:color="auto"/>
              <w:right w:val="single" w:sz="4" w:space="0" w:color="auto"/>
            </w:tcBorders>
            <w:shd w:val="clear" w:color="auto" w:fill="auto"/>
            <w:hideMark/>
          </w:tcPr>
          <w:p w14:paraId="7117D924"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lastRenderedPageBreak/>
              <w:t>65</w:t>
            </w:r>
          </w:p>
        </w:tc>
        <w:tc>
          <w:tcPr>
            <w:tcW w:w="265" w:type="pct"/>
            <w:tcBorders>
              <w:top w:val="nil"/>
              <w:left w:val="nil"/>
              <w:bottom w:val="single" w:sz="4" w:space="0" w:color="auto"/>
              <w:right w:val="single" w:sz="4" w:space="0" w:color="auto"/>
            </w:tcBorders>
            <w:shd w:val="clear" w:color="auto" w:fill="auto"/>
            <w:hideMark/>
          </w:tcPr>
          <w:p w14:paraId="3AF23DA7"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9</w:t>
            </w:r>
          </w:p>
        </w:tc>
        <w:tc>
          <w:tcPr>
            <w:tcW w:w="939" w:type="pct"/>
            <w:tcBorders>
              <w:top w:val="nil"/>
              <w:left w:val="nil"/>
              <w:bottom w:val="single" w:sz="4" w:space="0" w:color="auto"/>
              <w:right w:val="single" w:sz="4" w:space="0" w:color="auto"/>
            </w:tcBorders>
            <w:shd w:val="clear" w:color="auto" w:fill="auto"/>
            <w:hideMark/>
          </w:tcPr>
          <w:p w14:paraId="7A340801"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670" w:type="pct"/>
            <w:tcBorders>
              <w:top w:val="nil"/>
              <w:left w:val="nil"/>
              <w:bottom w:val="single" w:sz="4" w:space="0" w:color="auto"/>
              <w:right w:val="single" w:sz="4" w:space="0" w:color="auto"/>
            </w:tcBorders>
            <w:shd w:val="clear" w:color="auto" w:fill="auto"/>
            <w:hideMark/>
          </w:tcPr>
          <w:p w14:paraId="3924147C"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3832B848"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(h) documente conţinând evaluările/  estimările tehnico-economice privind costurile transferului de capacităţi, precum şi cele asociate lucrărilor de modernizare, ulterioare realizării transferului de capacităţi;</w:t>
            </w:r>
          </w:p>
        </w:tc>
        <w:tc>
          <w:tcPr>
            <w:tcW w:w="930" w:type="pct"/>
            <w:tcBorders>
              <w:top w:val="nil"/>
              <w:left w:val="nil"/>
              <w:bottom w:val="single" w:sz="4" w:space="0" w:color="auto"/>
              <w:right w:val="single" w:sz="4" w:space="0" w:color="auto"/>
            </w:tcBorders>
            <w:shd w:val="clear" w:color="auto" w:fill="auto"/>
            <w:hideMark/>
          </w:tcPr>
          <w:p w14:paraId="0CD476D4"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În practică în cele mai multe situații starea tehnică a rețelelor pentru care se solicită predarea este precară iar costurile necesare aducerii la parametri normali de funcționare sunt semnificative și nu au fost prevăzute de către OD nici în OPEX și nici în CAPEX</w:t>
            </w:r>
          </w:p>
        </w:tc>
        <w:tc>
          <w:tcPr>
            <w:tcW w:w="790" w:type="pct"/>
            <w:tcBorders>
              <w:top w:val="nil"/>
              <w:left w:val="nil"/>
              <w:bottom w:val="single" w:sz="4" w:space="0" w:color="auto"/>
              <w:right w:val="single" w:sz="4" w:space="0" w:color="auto"/>
            </w:tcBorders>
            <w:shd w:val="clear" w:color="auto" w:fill="auto"/>
            <w:hideMark/>
          </w:tcPr>
          <w:p w14:paraId="4DDF603B"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color w:val="000000"/>
                <w:sz w:val="20"/>
                <w:szCs w:val="20"/>
                <w:lang w:eastAsia="ro-RO"/>
              </w:rPr>
              <w:br/>
              <w:t>Este un subiect de negociere. ODC poate face propriile evaluări în raport cu necesitățile pentru asigurarea continuității serviciului de distribuție și capabilitățile propriei rețele din zonă versus capabilitățile activelor din oferta de vânzare.</w:t>
            </w:r>
          </w:p>
        </w:tc>
      </w:tr>
      <w:tr w:rsidR="00066F52" w:rsidRPr="00066F52" w14:paraId="290E3601" w14:textId="77777777" w:rsidTr="00720795">
        <w:trPr>
          <w:trHeight w:val="1584"/>
        </w:trPr>
        <w:tc>
          <w:tcPr>
            <w:tcW w:w="245" w:type="pct"/>
            <w:tcBorders>
              <w:top w:val="nil"/>
              <w:left w:val="single" w:sz="4" w:space="0" w:color="auto"/>
              <w:bottom w:val="single" w:sz="4" w:space="0" w:color="auto"/>
              <w:right w:val="single" w:sz="4" w:space="0" w:color="auto"/>
            </w:tcBorders>
            <w:shd w:val="clear" w:color="auto" w:fill="auto"/>
            <w:hideMark/>
          </w:tcPr>
          <w:p w14:paraId="5ACE4197"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66</w:t>
            </w:r>
          </w:p>
        </w:tc>
        <w:tc>
          <w:tcPr>
            <w:tcW w:w="265" w:type="pct"/>
            <w:tcBorders>
              <w:top w:val="nil"/>
              <w:left w:val="nil"/>
              <w:bottom w:val="single" w:sz="4" w:space="0" w:color="auto"/>
              <w:right w:val="single" w:sz="4" w:space="0" w:color="auto"/>
            </w:tcBorders>
            <w:shd w:val="clear" w:color="auto" w:fill="auto"/>
            <w:hideMark/>
          </w:tcPr>
          <w:p w14:paraId="35B7166C"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9</w:t>
            </w:r>
          </w:p>
        </w:tc>
        <w:tc>
          <w:tcPr>
            <w:tcW w:w="939" w:type="pct"/>
            <w:tcBorders>
              <w:top w:val="nil"/>
              <w:left w:val="nil"/>
              <w:bottom w:val="single" w:sz="4" w:space="0" w:color="auto"/>
              <w:right w:val="single" w:sz="4" w:space="0" w:color="auto"/>
            </w:tcBorders>
            <w:shd w:val="clear" w:color="auto" w:fill="auto"/>
            <w:hideMark/>
          </w:tcPr>
          <w:p w14:paraId="4BE3FB89"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(2)</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 xml:space="preserve">În cazul în care persoana fizică/juridică deținătoare a capacităților energetice de distribuție care fac obiectul contractului de vânzare-cumpǎrare nu are obligaţia de a ține contabilitatea mijloacelor fixe, aceasta nu are obligaţia furnizǎrii informaţiilor prevǎzute la alin. (1) lit. a) punctele 3-6. </w:t>
            </w:r>
          </w:p>
        </w:tc>
        <w:tc>
          <w:tcPr>
            <w:tcW w:w="670" w:type="pct"/>
            <w:tcBorders>
              <w:top w:val="nil"/>
              <w:left w:val="nil"/>
              <w:bottom w:val="single" w:sz="4" w:space="0" w:color="auto"/>
              <w:right w:val="single" w:sz="4" w:space="0" w:color="auto"/>
            </w:tcBorders>
            <w:shd w:val="clear" w:color="auto" w:fill="auto"/>
            <w:hideMark/>
          </w:tcPr>
          <w:p w14:paraId="0435897F"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e-Distribuție</w:t>
            </w:r>
          </w:p>
        </w:tc>
        <w:tc>
          <w:tcPr>
            <w:tcW w:w="1161" w:type="pct"/>
            <w:tcBorders>
              <w:top w:val="nil"/>
              <w:left w:val="nil"/>
              <w:bottom w:val="single" w:sz="4" w:space="0" w:color="auto"/>
              <w:right w:val="single" w:sz="4" w:space="0" w:color="auto"/>
            </w:tcBorders>
            <w:shd w:val="clear" w:color="auto" w:fill="auto"/>
            <w:noWrap/>
            <w:hideMark/>
          </w:tcPr>
          <w:p w14:paraId="14E86EA2"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Propunem eliminarea acestui aliniat</w:t>
            </w:r>
          </w:p>
        </w:tc>
        <w:tc>
          <w:tcPr>
            <w:tcW w:w="930" w:type="pct"/>
            <w:tcBorders>
              <w:top w:val="nil"/>
              <w:left w:val="nil"/>
              <w:bottom w:val="single" w:sz="4" w:space="0" w:color="auto"/>
              <w:right w:val="single" w:sz="4" w:space="0" w:color="auto"/>
            </w:tcBorders>
            <w:shd w:val="clear" w:color="auto" w:fill="auto"/>
            <w:hideMark/>
          </w:tcPr>
          <w:p w14:paraId="33E8F7BF"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tcBorders>
              <w:top w:val="nil"/>
              <w:left w:val="nil"/>
              <w:bottom w:val="single" w:sz="4" w:space="0" w:color="auto"/>
              <w:right w:val="single" w:sz="4" w:space="0" w:color="auto"/>
            </w:tcBorders>
            <w:shd w:val="clear" w:color="auto" w:fill="auto"/>
            <w:hideMark/>
          </w:tcPr>
          <w:p w14:paraId="0B752B63"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color w:val="000000"/>
                <w:sz w:val="20"/>
                <w:szCs w:val="20"/>
                <w:lang w:eastAsia="ro-RO"/>
              </w:rPr>
              <w:br/>
              <w:t>Propunerea nu are nici o motivație</w:t>
            </w:r>
          </w:p>
        </w:tc>
      </w:tr>
      <w:tr w:rsidR="00066F52" w:rsidRPr="00066F52" w14:paraId="2A0904E6" w14:textId="77777777" w:rsidTr="00720795">
        <w:trPr>
          <w:trHeight w:val="2112"/>
        </w:trPr>
        <w:tc>
          <w:tcPr>
            <w:tcW w:w="245" w:type="pct"/>
            <w:tcBorders>
              <w:top w:val="nil"/>
              <w:left w:val="single" w:sz="4" w:space="0" w:color="auto"/>
              <w:bottom w:val="single" w:sz="4" w:space="0" w:color="auto"/>
              <w:right w:val="single" w:sz="4" w:space="0" w:color="auto"/>
            </w:tcBorders>
            <w:shd w:val="clear" w:color="auto" w:fill="auto"/>
            <w:hideMark/>
          </w:tcPr>
          <w:p w14:paraId="213A9151"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67</w:t>
            </w:r>
          </w:p>
        </w:tc>
        <w:tc>
          <w:tcPr>
            <w:tcW w:w="265" w:type="pct"/>
            <w:tcBorders>
              <w:top w:val="nil"/>
              <w:left w:val="nil"/>
              <w:bottom w:val="single" w:sz="4" w:space="0" w:color="auto"/>
              <w:right w:val="single" w:sz="4" w:space="0" w:color="auto"/>
            </w:tcBorders>
            <w:shd w:val="clear" w:color="auto" w:fill="auto"/>
            <w:hideMark/>
          </w:tcPr>
          <w:p w14:paraId="5EE598CE"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9</w:t>
            </w:r>
          </w:p>
        </w:tc>
        <w:tc>
          <w:tcPr>
            <w:tcW w:w="939" w:type="pct"/>
            <w:tcBorders>
              <w:top w:val="nil"/>
              <w:left w:val="nil"/>
              <w:bottom w:val="single" w:sz="4" w:space="0" w:color="auto"/>
              <w:right w:val="single" w:sz="4" w:space="0" w:color="auto"/>
            </w:tcBorders>
            <w:shd w:val="clear" w:color="auto" w:fill="auto"/>
            <w:hideMark/>
          </w:tcPr>
          <w:p w14:paraId="29240282"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(3)</w:t>
            </w:r>
            <w:r w:rsidRPr="00066F52">
              <w:rPr>
                <w:rFonts w:ascii="Times New Roman" w:eastAsia="Times New Roman" w:hAnsi="Times New Roman" w:cs="Times New Roman"/>
                <w:color w:val="000000"/>
                <w:sz w:val="14"/>
                <w:szCs w:val="14"/>
                <w:lang w:eastAsia="ro-RO"/>
              </w:rPr>
              <w:t xml:space="preserve">    </w:t>
            </w:r>
            <w:r w:rsidRPr="00066F52">
              <w:rPr>
                <w:rFonts w:ascii="Times New Roman" w:eastAsia="Times New Roman" w:hAnsi="Times New Roman" w:cs="Times New Roman"/>
                <w:color w:val="000000"/>
                <w:sz w:val="20"/>
                <w:szCs w:val="20"/>
                <w:lang w:eastAsia="ro-RO"/>
              </w:rPr>
              <w:t>În cazul în care persoana fizică/juridică deținătoare a capacităților energetice de distribuție care fac obiectul contractului de vânzare-cumpǎrare nu deține documentații tehnice detaliate aferente capacităților, aceasta nu are obligaţia furnizǎrii informaţiilor prevǎzute la alin. (1) lit. a) punctul 1, precum şi a documentelor de la alin. (1) lit. c).</w:t>
            </w:r>
          </w:p>
        </w:tc>
        <w:tc>
          <w:tcPr>
            <w:tcW w:w="670" w:type="pct"/>
            <w:tcBorders>
              <w:top w:val="nil"/>
              <w:left w:val="nil"/>
              <w:bottom w:val="single" w:sz="4" w:space="0" w:color="auto"/>
              <w:right w:val="single" w:sz="4" w:space="0" w:color="auto"/>
            </w:tcBorders>
            <w:shd w:val="clear" w:color="auto" w:fill="auto"/>
            <w:hideMark/>
          </w:tcPr>
          <w:p w14:paraId="65810FBD"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e-Distribuție</w:t>
            </w:r>
          </w:p>
        </w:tc>
        <w:tc>
          <w:tcPr>
            <w:tcW w:w="1161" w:type="pct"/>
            <w:tcBorders>
              <w:top w:val="nil"/>
              <w:left w:val="nil"/>
              <w:bottom w:val="single" w:sz="4" w:space="0" w:color="auto"/>
              <w:right w:val="single" w:sz="4" w:space="0" w:color="auto"/>
            </w:tcBorders>
            <w:shd w:val="clear" w:color="auto" w:fill="auto"/>
            <w:hideMark/>
          </w:tcPr>
          <w:p w14:paraId="2345AFB0"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sz w:val="20"/>
                <w:szCs w:val="20"/>
                <w:lang w:eastAsia="ro-RO"/>
              </w:rPr>
              <w:t>(3) În cazul în care persoana fizică/juridică deținătoare a capacităților energetice de distribuție care fac obiectul contractului de vânzare-cumpǎrare nu deține documentații tehnice detaliate aferente capacităților,</w:t>
            </w:r>
            <w:r w:rsidRPr="00066F52">
              <w:rPr>
                <w:rFonts w:ascii="Times New Roman" w:eastAsia="Times New Roman" w:hAnsi="Times New Roman" w:cs="Times New Roman"/>
                <w:color w:val="FF0000"/>
                <w:sz w:val="20"/>
                <w:szCs w:val="20"/>
                <w:lang w:eastAsia="ro-RO"/>
              </w:rPr>
              <w:t xml:space="preserve"> aceasta are obligaţia reconstituirii, pe cheltuiala proprie, prin forte proprii sau pe baza unor expertize, toate documentele lipsa, inclusiv pentru furnizarea informaţiilor prevǎzute la alin. (1) lit. a) punctul 1, precum şi a documentelor de la alin. (1) lit. c ).</w:t>
            </w:r>
          </w:p>
        </w:tc>
        <w:tc>
          <w:tcPr>
            <w:tcW w:w="930" w:type="pct"/>
            <w:tcBorders>
              <w:top w:val="nil"/>
              <w:left w:val="nil"/>
              <w:bottom w:val="single" w:sz="4" w:space="0" w:color="auto"/>
              <w:right w:val="single" w:sz="4" w:space="0" w:color="auto"/>
            </w:tcBorders>
            <w:shd w:val="clear" w:color="auto" w:fill="auto"/>
            <w:hideMark/>
          </w:tcPr>
          <w:p w14:paraId="4371A73D"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xml:space="preserve">Toate aceste documente vor constitui documente justificative pentru aceste Investitii ale ODC care vor fi introduse in planurile de Investitii ale ODC. </w:t>
            </w:r>
            <w:r w:rsidRPr="00066F52">
              <w:rPr>
                <w:rFonts w:ascii="Times New Roman" w:eastAsia="Times New Roman" w:hAnsi="Times New Roman" w:cs="Times New Roman"/>
                <w:color w:val="000000"/>
                <w:sz w:val="20"/>
                <w:szCs w:val="20"/>
                <w:lang w:eastAsia="ro-RO"/>
              </w:rPr>
              <w:br/>
              <w:t>Lipsa acestor documente poate constitui motiv de nerecunoastere a respectivelor Investitii de catre ANRE.</w:t>
            </w:r>
          </w:p>
        </w:tc>
        <w:tc>
          <w:tcPr>
            <w:tcW w:w="790" w:type="pct"/>
            <w:tcBorders>
              <w:top w:val="nil"/>
              <w:left w:val="nil"/>
              <w:bottom w:val="single" w:sz="4" w:space="0" w:color="auto"/>
              <w:right w:val="single" w:sz="4" w:space="0" w:color="auto"/>
            </w:tcBorders>
            <w:shd w:val="clear" w:color="auto" w:fill="auto"/>
            <w:hideMark/>
          </w:tcPr>
          <w:p w14:paraId="7A29A0C1"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color w:val="000000"/>
                <w:sz w:val="20"/>
                <w:szCs w:val="20"/>
                <w:lang w:eastAsia="ro-RO"/>
              </w:rPr>
              <w:br/>
              <w:t>Propunerea de completare poate zădărnici procesul de preluare, în anumite cazuri. ODC are capacitatea tehnică de a efectua expertiza.</w:t>
            </w:r>
          </w:p>
        </w:tc>
      </w:tr>
      <w:tr w:rsidR="00066F52" w:rsidRPr="00066F52" w14:paraId="2B5BFD75" w14:textId="77777777" w:rsidTr="00720795">
        <w:trPr>
          <w:trHeight w:val="1584"/>
        </w:trPr>
        <w:tc>
          <w:tcPr>
            <w:tcW w:w="245" w:type="pct"/>
            <w:tcBorders>
              <w:top w:val="nil"/>
              <w:left w:val="single" w:sz="4" w:space="0" w:color="auto"/>
              <w:bottom w:val="single" w:sz="4" w:space="0" w:color="auto"/>
              <w:right w:val="single" w:sz="4" w:space="0" w:color="auto"/>
            </w:tcBorders>
            <w:shd w:val="clear" w:color="auto" w:fill="auto"/>
            <w:hideMark/>
          </w:tcPr>
          <w:p w14:paraId="370DBDE7"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lastRenderedPageBreak/>
              <w:t>68</w:t>
            </w:r>
          </w:p>
        </w:tc>
        <w:tc>
          <w:tcPr>
            <w:tcW w:w="265" w:type="pct"/>
            <w:tcBorders>
              <w:top w:val="nil"/>
              <w:left w:val="nil"/>
              <w:bottom w:val="single" w:sz="4" w:space="0" w:color="auto"/>
              <w:right w:val="single" w:sz="4" w:space="0" w:color="auto"/>
            </w:tcBorders>
            <w:shd w:val="clear" w:color="auto" w:fill="auto"/>
            <w:hideMark/>
          </w:tcPr>
          <w:p w14:paraId="253B124C"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9</w:t>
            </w:r>
          </w:p>
        </w:tc>
        <w:tc>
          <w:tcPr>
            <w:tcW w:w="939" w:type="pct"/>
            <w:tcBorders>
              <w:top w:val="nil"/>
              <w:left w:val="nil"/>
              <w:bottom w:val="single" w:sz="4" w:space="0" w:color="auto"/>
              <w:right w:val="single" w:sz="4" w:space="0" w:color="auto"/>
            </w:tcBorders>
            <w:shd w:val="clear" w:color="auto" w:fill="auto"/>
            <w:hideMark/>
          </w:tcPr>
          <w:p w14:paraId="6639BD1B"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670" w:type="pct"/>
            <w:tcBorders>
              <w:top w:val="nil"/>
              <w:left w:val="nil"/>
              <w:bottom w:val="single" w:sz="4" w:space="0" w:color="auto"/>
              <w:right w:val="single" w:sz="4" w:space="0" w:color="auto"/>
            </w:tcBorders>
            <w:shd w:val="clear" w:color="auto" w:fill="auto"/>
            <w:hideMark/>
          </w:tcPr>
          <w:p w14:paraId="5018AA4C"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5D49F841"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Propunere de completare cu 6 alineate noi:</w:t>
            </w:r>
            <w:r w:rsidRPr="00066F52">
              <w:rPr>
                <w:rFonts w:ascii="Times New Roman" w:eastAsia="Times New Roman" w:hAnsi="Times New Roman" w:cs="Times New Roman"/>
                <w:color w:val="FF0000"/>
                <w:sz w:val="20"/>
                <w:szCs w:val="20"/>
                <w:lang w:eastAsia="ro-RO"/>
              </w:rPr>
              <w:br/>
              <w:t>(4) În cazul în care persoana fizică/juridică nu deține autorizaţie de construire pentru capacitățile energetice de distribuție care fac obiectul contractului de vânzare-cumpǎrare, atunci are obligația de a prezenta un certificat de atestare/ adeverinţă privind edificarea construcţiilor ce fac obiectul vânzării;</w:t>
            </w:r>
          </w:p>
        </w:tc>
        <w:tc>
          <w:tcPr>
            <w:tcW w:w="930" w:type="pct"/>
            <w:tcBorders>
              <w:top w:val="nil"/>
              <w:left w:val="nil"/>
              <w:bottom w:val="single" w:sz="4" w:space="0" w:color="auto"/>
              <w:right w:val="single" w:sz="4" w:space="0" w:color="auto"/>
            </w:tcBorders>
            <w:shd w:val="clear" w:color="auto" w:fill="auto"/>
            <w:hideMark/>
          </w:tcPr>
          <w:p w14:paraId="79C5BCDC"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Obligație legală de a deține AC pentru construcții sau certificat/adeverință de edificare a construcției.</w:t>
            </w:r>
          </w:p>
        </w:tc>
        <w:tc>
          <w:tcPr>
            <w:tcW w:w="790" w:type="pct"/>
            <w:tcBorders>
              <w:top w:val="nil"/>
              <w:left w:val="nil"/>
              <w:bottom w:val="single" w:sz="4" w:space="0" w:color="auto"/>
              <w:right w:val="single" w:sz="4" w:space="0" w:color="auto"/>
            </w:tcBorders>
            <w:shd w:val="clear" w:color="auto" w:fill="auto"/>
            <w:hideMark/>
          </w:tcPr>
          <w:p w14:paraId="31EB4FAA"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color w:val="000000"/>
                <w:sz w:val="20"/>
                <w:szCs w:val="20"/>
                <w:lang w:eastAsia="ro-RO"/>
              </w:rPr>
              <w:br/>
              <w:t>Sunt prevăzute documente care atestă fac dovada că persoana deține documente de proprietate (lit. e))</w:t>
            </w:r>
          </w:p>
        </w:tc>
      </w:tr>
      <w:tr w:rsidR="00805C06" w:rsidRPr="00066F52" w14:paraId="014F8557" w14:textId="77777777" w:rsidTr="00720795">
        <w:trPr>
          <w:trHeight w:val="2364"/>
        </w:trPr>
        <w:tc>
          <w:tcPr>
            <w:tcW w:w="245" w:type="pct"/>
            <w:tcBorders>
              <w:top w:val="nil"/>
              <w:left w:val="single" w:sz="4" w:space="0" w:color="auto"/>
              <w:bottom w:val="single" w:sz="4" w:space="0" w:color="auto"/>
              <w:right w:val="single" w:sz="4" w:space="0" w:color="auto"/>
            </w:tcBorders>
            <w:shd w:val="clear" w:color="auto" w:fill="auto"/>
            <w:hideMark/>
          </w:tcPr>
          <w:p w14:paraId="03173D09" w14:textId="77777777" w:rsidR="00805C06" w:rsidRPr="00066F52" w:rsidRDefault="00805C06" w:rsidP="00805C06">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69</w:t>
            </w:r>
          </w:p>
        </w:tc>
        <w:tc>
          <w:tcPr>
            <w:tcW w:w="265" w:type="pct"/>
            <w:tcBorders>
              <w:top w:val="nil"/>
              <w:left w:val="nil"/>
              <w:bottom w:val="single" w:sz="4" w:space="0" w:color="auto"/>
              <w:right w:val="single" w:sz="4" w:space="0" w:color="auto"/>
            </w:tcBorders>
            <w:shd w:val="clear" w:color="auto" w:fill="auto"/>
            <w:hideMark/>
          </w:tcPr>
          <w:p w14:paraId="2D8D3958" w14:textId="77777777" w:rsidR="00805C06" w:rsidRPr="00066F52" w:rsidRDefault="00805C06" w:rsidP="00805C06">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9</w:t>
            </w:r>
          </w:p>
        </w:tc>
        <w:tc>
          <w:tcPr>
            <w:tcW w:w="939" w:type="pct"/>
            <w:tcBorders>
              <w:top w:val="nil"/>
              <w:left w:val="nil"/>
              <w:bottom w:val="single" w:sz="4" w:space="0" w:color="auto"/>
              <w:right w:val="single" w:sz="4" w:space="0" w:color="auto"/>
            </w:tcBorders>
            <w:shd w:val="clear" w:color="auto" w:fill="auto"/>
            <w:hideMark/>
          </w:tcPr>
          <w:p w14:paraId="1DDDABDB" w14:textId="77777777" w:rsidR="00805C06" w:rsidRPr="00066F52" w:rsidRDefault="00805C06" w:rsidP="00805C06">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670" w:type="pct"/>
            <w:tcBorders>
              <w:top w:val="nil"/>
              <w:left w:val="nil"/>
              <w:bottom w:val="single" w:sz="4" w:space="0" w:color="auto"/>
              <w:right w:val="single" w:sz="4" w:space="0" w:color="auto"/>
            </w:tcBorders>
            <w:shd w:val="clear" w:color="auto" w:fill="auto"/>
            <w:hideMark/>
          </w:tcPr>
          <w:p w14:paraId="5C16B498" w14:textId="77777777" w:rsidR="00805C06" w:rsidRPr="00066F52" w:rsidRDefault="00805C06" w:rsidP="00805C06">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6E1B025C" w14:textId="77777777" w:rsidR="00805C06" w:rsidRPr="00066F52" w:rsidRDefault="00805C06" w:rsidP="00805C06">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(5) Promisiunea de Încheiere a unor contracte/convenții în forma autentică, odată cu încheierea contractului de vânzare-cumpărare, având ca obiect instituirea în favoarea operatorului de distribuție concesionar a drepturilor de superfice/ de trecere cu rețele de utilităţi, uz şi servitute asupra terenurilor afectate de capacităţile energetice de distributie</w:t>
            </w:r>
          </w:p>
        </w:tc>
        <w:tc>
          <w:tcPr>
            <w:tcW w:w="930" w:type="pct"/>
            <w:tcBorders>
              <w:top w:val="nil"/>
              <w:left w:val="nil"/>
              <w:bottom w:val="single" w:sz="4" w:space="0" w:color="auto"/>
              <w:right w:val="single" w:sz="4" w:space="0" w:color="auto"/>
            </w:tcBorders>
            <w:shd w:val="clear" w:color="auto" w:fill="auto"/>
            <w:hideMark/>
          </w:tcPr>
          <w:p w14:paraId="1D3666C7" w14:textId="77777777" w:rsidR="00805C06" w:rsidRPr="00066F52" w:rsidRDefault="00805C06" w:rsidP="00805C06">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Exista situații în care pentru alimentarea cu energie electrică a unui loc de consum, deținătorul capacităților energetice, a amplasat o parte din rețele pe terenurile unor terţi; În cazul în care nu se stabilește un raport juridic între deținătorii terenurilor afectate de rețelele electrice și operatorul de distribuţie, există posibilitatea ca după preluare, sa apară litigii între proprietarul terenului și OD.</w:t>
            </w:r>
          </w:p>
        </w:tc>
        <w:tc>
          <w:tcPr>
            <w:tcW w:w="790" w:type="pct"/>
            <w:tcBorders>
              <w:top w:val="nil"/>
              <w:left w:val="nil"/>
              <w:bottom w:val="single" w:sz="4" w:space="0" w:color="auto"/>
              <w:right w:val="single" w:sz="4" w:space="0" w:color="auto"/>
            </w:tcBorders>
            <w:shd w:val="clear" w:color="auto" w:fill="auto"/>
            <w:hideMark/>
          </w:tcPr>
          <w:p w14:paraId="4B11B4BD" w14:textId="026BE1AA" w:rsidR="00805C06" w:rsidRPr="00066F52" w:rsidRDefault="00A86F4D" w:rsidP="00A86F4D">
            <w:pPr>
              <w:spacing w:after="0" w:line="240" w:lineRule="auto"/>
              <w:rPr>
                <w:rFonts w:ascii="Times New Roman" w:eastAsia="Times New Roman" w:hAnsi="Times New Roman" w:cs="Times New Roman"/>
                <w:color w:val="000000"/>
                <w:sz w:val="20"/>
                <w:szCs w:val="20"/>
                <w:lang w:eastAsia="ro-RO"/>
              </w:rPr>
            </w:pPr>
            <w:r>
              <w:rPr>
                <w:rFonts w:ascii="Times New Roman" w:eastAsia="Times New Roman" w:hAnsi="Times New Roman" w:cs="Times New Roman"/>
                <w:b/>
                <w:bCs/>
                <w:color w:val="000000"/>
                <w:sz w:val="20"/>
                <w:szCs w:val="20"/>
                <w:lang w:eastAsia="ro-RO"/>
              </w:rPr>
              <w:t>S</w:t>
            </w:r>
            <w:r w:rsidR="00CA1777">
              <w:rPr>
                <w:rFonts w:ascii="Times New Roman" w:eastAsia="Times New Roman" w:hAnsi="Times New Roman" w:cs="Times New Roman"/>
                <w:b/>
                <w:bCs/>
                <w:color w:val="000000"/>
                <w:sz w:val="20"/>
                <w:szCs w:val="20"/>
                <w:lang w:eastAsia="ro-RO"/>
              </w:rPr>
              <w:t xml:space="preserve">e </w:t>
            </w:r>
            <w:r w:rsidR="00805C06" w:rsidRPr="00066F52">
              <w:rPr>
                <w:rFonts w:ascii="Times New Roman" w:eastAsia="Times New Roman" w:hAnsi="Times New Roman" w:cs="Times New Roman"/>
                <w:b/>
                <w:bCs/>
                <w:color w:val="000000"/>
                <w:sz w:val="20"/>
                <w:szCs w:val="20"/>
                <w:lang w:eastAsia="ro-RO"/>
              </w:rPr>
              <w:t>acceptă.</w:t>
            </w:r>
            <w:r w:rsidR="00805C06" w:rsidRPr="00066F52">
              <w:rPr>
                <w:rFonts w:ascii="Times New Roman" w:eastAsia="Times New Roman" w:hAnsi="Times New Roman" w:cs="Times New Roman"/>
                <w:color w:val="000000"/>
                <w:sz w:val="20"/>
                <w:szCs w:val="20"/>
                <w:lang w:eastAsia="ro-RO"/>
              </w:rPr>
              <w:br/>
            </w:r>
            <w:r>
              <w:rPr>
                <w:rFonts w:ascii="Times New Roman" w:eastAsia="Times New Roman" w:hAnsi="Times New Roman" w:cs="Times New Roman"/>
                <w:color w:val="000000"/>
                <w:sz w:val="20"/>
                <w:szCs w:val="20"/>
                <w:lang w:eastAsia="ro-RO"/>
              </w:rPr>
              <w:t>V. rezoluția de la pct. 63</w:t>
            </w:r>
          </w:p>
        </w:tc>
      </w:tr>
      <w:tr w:rsidR="00066F52" w:rsidRPr="00066F52" w14:paraId="368FC19B" w14:textId="77777777" w:rsidTr="00720795">
        <w:trPr>
          <w:trHeight w:val="3480"/>
        </w:trPr>
        <w:tc>
          <w:tcPr>
            <w:tcW w:w="245" w:type="pct"/>
            <w:tcBorders>
              <w:top w:val="nil"/>
              <w:left w:val="single" w:sz="4" w:space="0" w:color="auto"/>
              <w:bottom w:val="single" w:sz="4" w:space="0" w:color="auto"/>
              <w:right w:val="single" w:sz="4" w:space="0" w:color="auto"/>
            </w:tcBorders>
            <w:shd w:val="clear" w:color="auto" w:fill="auto"/>
            <w:hideMark/>
          </w:tcPr>
          <w:p w14:paraId="62BB0371"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70</w:t>
            </w:r>
          </w:p>
        </w:tc>
        <w:tc>
          <w:tcPr>
            <w:tcW w:w="265" w:type="pct"/>
            <w:tcBorders>
              <w:top w:val="nil"/>
              <w:left w:val="nil"/>
              <w:bottom w:val="single" w:sz="4" w:space="0" w:color="auto"/>
              <w:right w:val="single" w:sz="4" w:space="0" w:color="auto"/>
            </w:tcBorders>
            <w:shd w:val="clear" w:color="auto" w:fill="auto"/>
            <w:hideMark/>
          </w:tcPr>
          <w:p w14:paraId="3B7FDFAB"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9</w:t>
            </w:r>
          </w:p>
        </w:tc>
        <w:tc>
          <w:tcPr>
            <w:tcW w:w="939" w:type="pct"/>
            <w:tcBorders>
              <w:top w:val="nil"/>
              <w:left w:val="nil"/>
              <w:bottom w:val="single" w:sz="4" w:space="0" w:color="auto"/>
              <w:right w:val="single" w:sz="4" w:space="0" w:color="auto"/>
            </w:tcBorders>
            <w:shd w:val="clear" w:color="auto" w:fill="auto"/>
            <w:hideMark/>
          </w:tcPr>
          <w:p w14:paraId="33B46B5A"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670" w:type="pct"/>
            <w:tcBorders>
              <w:top w:val="nil"/>
              <w:left w:val="nil"/>
              <w:bottom w:val="single" w:sz="4" w:space="0" w:color="auto"/>
              <w:right w:val="single" w:sz="4" w:space="0" w:color="auto"/>
            </w:tcBorders>
            <w:shd w:val="clear" w:color="auto" w:fill="auto"/>
            <w:hideMark/>
          </w:tcPr>
          <w:p w14:paraId="2B87396F"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7DB313B7" w14:textId="77777777" w:rsidR="00066F52" w:rsidRPr="00066F52" w:rsidRDefault="00066F52" w:rsidP="00066F52">
            <w:pPr>
              <w:spacing w:after="0" w:line="240" w:lineRule="auto"/>
              <w:rPr>
                <w:rFonts w:ascii="Times New Roman" w:eastAsia="Times New Roman" w:hAnsi="Times New Roman" w:cs="Times New Roman"/>
                <w:b/>
                <w:bCs/>
                <w:color w:val="FF0000"/>
                <w:sz w:val="20"/>
                <w:szCs w:val="20"/>
                <w:lang w:eastAsia="ro-RO"/>
              </w:rPr>
            </w:pPr>
            <w:r w:rsidRPr="00066F52">
              <w:rPr>
                <w:rFonts w:ascii="Times New Roman" w:eastAsia="Times New Roman" w:hAnsi="Times New Roman" w:cs="Times New Roman"/>
                <w:b/>
                <w:bCs/>
                <w:color w:val="FF0000"/>
                <w:sz w:val="20"/>
                <w:szCs w:val="20"/>
                <w:lang w:eastAsia="ro-RO"/>
              </w:rPr>
              <w:t>(</w:t>
            </w:r>
            <w:r w:rsidRPr="00066F52">
              <w:rPr>
                <w:rFonts w:ascii="Times New Roman" w:eastAsia="Times New Roman" w:hAnsi="Times New Roman" w:cs="Times New Roman"/>
                <w:color w:val="FF0000"/>
                <w:sz w:val="20"/>
                <w:szCs w:val="20"/>
                <w:lang w:eastAsia="ro-RO"/>
              </w:rPr>
              <w:t>6) În situația preluării unor rețele electrice conform prevederilor art. 46 alin. (2</w:t>
            </w:r>
            <w:r w:rsidRPr="00066F52">
              <w:rPr>
                <w:rFonts w:ascii="Times New Roman" w:eastAsia="Times New Roman" w:hAnsi="Times New Roman" w:cs="Times New Roman"/>
                <w:color w:val="FF0000"/>
                <w:sz w:val="20"/>
                <w:szCs w:val="20"/>
                <w:vertAlign w:val="superscript"/>
                <w:lang w:eastAsia="ro-RO"/>
              </w:rPr>
              <w:t>2</w:t>
            </w:r>
            <w:r w:rsidRPr="00066F52">
              <w:rPr>
                <w:rFonts w:ascii="Times New Roman" w:eastAsia="Times New Roman" w:hAnsi="Times New Roman" w:cs="Times New Roman"/>
                <w:color w:val="FF0000"/>
                <w:sz w:val="20"/>
                <w:szCs w:val="20"/>
                <w:lang w:eastAsia="ro-RO"/>
              </w:rPr>
              <w:t xml:space="preserve">) din Legea energiei electrice și a gazelor naturale nr. 123/2012, cu modificările și completările ulterioare, documentația descrisa mai sus va fi completata de un </w:t>
            </w:r>
            <w:r w:rsidRPr="00066F52">
              <w:rPr>
                <w:rFonts w:ascii="Times New Roman" w:eastAsia="Times New Roman" w:hAnsi="Times New Roman" w:cs="Times New Roman"/>
                <w:i/>
                <w:iCs/>
                <w:color w:val="FF0000"/>
                <w:sz w:val="20"/>
                <w:szCs w:val="20"/>
                <w:lang w:eastAsia="ro-RO"/>
              </w:rPr>
              <w:t>Raport de</w:t>
            </w:r>
            <w:r w:rsidRPr="00066F52">
              <w:rPr>
                <w:rFonts w:ascii="Times New Roman" w:eastAsia="Times New Roman" w:hAnsi="Times New Roman" w:cs="Times New Roman"/>
                <w:color w:val="FF0000"/>
                <w:sz w:val="20"/>
                <w:szCs w:val="20"/>
                <w:lang w:eastAsia="ro-RO"/>
              </w:rPr>
              <w:t xml:space="preserve">  e</w:t>
            </w:r>
            <w:r w:rsidRPr="00066F52">
              <w:rPr>
                <w:rFonts w:ascii="Times New Roman" w:eastAsia="Times New Roman" w:hAnsi="Times New Roman" w:cs="Times New Roman"/>
                <w:i/>
                <w:iCs/>
                <w:color w:val="FF0000"/>
                <w:sz w:val="20"/>
                <w:szCs w:val="20"/>
                <w:lang w:eastAsia="ro-RO"/>
              </w:rPr>
              <w:t xml:space="preserve">xpertiza tehnica a rețelei </w:t>
            </w:r>
            <w:r w:rsidRPr="00066F52">
              <w:rPr>
                <w:rFonts w:ascii="Times New Roman" w:eastAsia="Times New Roman" w:hAnsi="Times New Roman" w:cs="Times New Roman"/>
                <w:color w:val="FF0000"/>
                <w:sz w:val="20"/>
                <w:szCs w:val="20"/>
                <w:lang w:eastAsia="ro-RO"/>
              </w:rPr>
              <w:t>întocmit de un expert tehnic autorizat ANRE.</w:t>
            </w:r>
            <w:r w:rsidRPr="00066F52">
              <w:rPr>
                <w:rFonts w:ascii="Times New Roman" w:eastAsia="Times New Roman" w:hAnsi="Times New Roman" w:cs="Times New Roman"/>
                <w:color w:val="FF0000"/>
                <w:sz w:val="20"/>
                <w:szCs w:val="20"/>
                <w:lang w:eastAsia="ro-RO"/>
              </w:rPr>
              <w:br/>
              <w:t xml:space="preserve">Raportul de expertiză va conține informații privind caracteristicile instalațiilor, starea și calitatea tehnică a rețelei, va identifica situațiile cu risc SSM, coexistenta cu alte instalații, factorii  de risc identificați, necesarul cheltuielilor de investiții și mentenanță </w:t>
            </w:r>
            <w:r w:rsidRPr="00066F52">
              <w:rPr>
                <w:rFonts w:ascii="Times New Roman" w:eastAsia="Times New Roman" w:hAnsi="Times New Roman" w:cs="Times New Roman"/>
                <w:color w:val="FF0000"/>
                <w:sz w:val="20"/>
                <w:szCs w:val="20"/>
                <w:lang w:eastAsia="ro-RO"/>
              </w:rPr>
              <w:lastRenderedPageBreak/>
              <w:t>pentru aducerea la standardele de calitate în domeniu, elemente care susţin argumentele prezentate în raport – fişe de calcul, fotografii ale bunurilor.</w:t>
            </w:r>
          </w:p>
        </w:tc>
        <w:tc>
          <w:tcPr>
            <w:tcW w:w="930" w:type="pct"/>
            <w:tcBorders>
              <w:top w:val="nil"/>
              <w:left w:val="nil"/>
              <w:bottom w:val="single" w:sz="4" w:space="0" w:color="auto"/>
              <w:right w:val="single" w:sz="4" w:space="0" w:color="auto"/>
            </w:tcBorders>
            <w:shd w:val="clear" w:color="auto" w:fill="auto"/>
            <w:hideMark/>
          </w:tcPr>
          <w:p w14:paraId="5A083CC1"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lastRenderedPageBreak/>
              <w:t>Consideram ca OD concesionar nu trebuie sa fie obligat la preluarea unor instalatiile necorespunzatoare si care pot induce riscuri in exploatare.</w:t>
            </w:r>
          </w:p>
        </w:tc>
        <w:tc>
          <w:tcPr>
            <w:tcW w:w="790" w:type="pct"/>
            <w:tcBorders>
              <w:top w:val="nil"/>
              <w:left w:val="nil"/>
              <w:bottom w:val="single" w:sz="4" w:space="0" w:color="auto"/>
              <w:right w:val="single" w:sz="4" w:space="0" w:color="auto"/>
            </w:tcBorders>
            <w:shd w:val="clear" w:color="auto" w:fill="auto"/>
            <w:hideMark/>
          </w:tcPr>
          <w:p w14:paraId="090F99E6"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Starea tehnică a activelor nu poate constitui motiv de refuz de preluare, ci poate influența valoarea de preluare (negocierea prețului).</w:t>
            </w:r>
          </w:p>
        </w:tc>
      </w:tr>
      <w:tr w:rsidR="00066F52" w:rsidRPr="00066F52" w14:paraId="42E5E2F4" w14:textId="77777777" w:rsidTr="00720795">
        <w:trPr>
          <w:trHeight w:val="1584"/>
        </w:trPr>
        <w:tc>
          <w:tcPr>
            <w:tcW w:w="245" w:type="pct"/>
            <w:tcBorders>
              <w:top w:val="nil"/>
              <w:left w:val="single" w:sz="4" w:space="0" w:color="auto"/>
              <w:bottom w:val="single" w:sz="4" w:space="0" w:color="auto"/>
              <w:right w:val="single" w:sz="4" w:space="0" w:color="auto"/>
            </w:tcBorders>
            <w:shd w:val="clear" w:color="auto" w:fill="auto"/>
            <w:hideMark/>
          </w:tcPr>
          <w:p w14:paraId="440321DD"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71</w:t>
            </w:r>
          </w:p>
        </w:tc>
        <w:tc>
          <w:tcPr>
            <w:tcW w:w="265" w:type="pct"/>
            <w:tcBorders>
              <w:top w:val="nil"/>
              <w:left w:val="nil"/>
              <w:bottom w:val="single" w:sz="4" w:space="0" w:color="auto"/>
              <w:right w:val="single" w:sz="4" w:space="0" w:color="auto"/>
            </w:tcBorders>
            <w:shd w:val="clear" w:color="auto" w:fill="auto"/>
            <w:hideMark/>
          </w:tcPr>
          <w:p w14:paraId="4736EADC"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9</w:t>
            </w:r>
          </w:p>
        </w:tc>
        <w:tc>
          <w:tcPr>
            <w:tcW w:w="939" w:type="pct"/>
            <w:tcBorders>
              <w:top w:val="nil"/>
              <w:left w:val="nil"/>
              <w:bottom w:val="single" w:sz="4" w:space="0" w:color="auto"/>
              <w:right w:val="single" w:sz="4" w:space="0" w:color="auto"/>
            </w:tcBorders>
            <w:shd w:val="clear" w:color="auto" w:fill="auto"/>
            <w:hideMark/>
          </w:tcPr>
          <w:p w14:paraId="20DCD004"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670" w:type="pct"/>
            <w:tcBorders>
              <w:top w:val="nil"/>
              <w:left w:val="nil"/>
              <w:bottom w:val="single" w:sz="4" w:space="0" w:color="auto"/>
              <w:right w:val="single" w:sz="4" w:space="0" w:color="auto"/>
            </w:tcBorders>
            <w:shd w:val="clear" w:color="auto" w:fill="auto"/>
            <w:hideMark/>
          </w:tcPr>
          <w:p w14:paraId="5224F7FA"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6F4A1972"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(7) Valoarea lucrărilor de mentenanță/investiții necesare a fi realizate de OD, pentru aducerea la standardele de calitate a capacităților energetice de distribuție care fac obiectul transferului și eliminarea factorilor de risc SSM, rezultate din raportul de expertiză prevăzut la alin.(6) se vor deduce din valoarea ofertată la art. 5 alin (3).</w:t>
            </w:r>
          </w:p>
        </w:tc>
        <w:tc>
          <w:tcPr>
            <w:tcW w:w="930" w:type="pct"/>
            <w:tcBorders>
              <w:top w:val="nil"/>
              <w:left w:val="nil"/>
              <w:bottom w:val="single" w:sz="4" w:space="0" w:color="auto"/>
              <w:right w:val="single" w:sz="4" w:space="0" w:color="auto"/>
            </w:tcBorders>
            <w:shd w:val="clear" w:color="auto" w:fill="auto"/>
            <w:hideMark/>
          </w:tcPr>
          <w:p w14:paraId="08BF0C46"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tcBorders>
              <w:top w:val="nil"/>
              <w:left w:val="nil"/>
              <w:bottom w:val="single" w:sz="4" w:space="0" w:color="auto"/>
              <w:right w:val="single" w:sz="4" w:space="0" w:color="auto"/>
            </w:tcBorders>
            <w:shd w:val="clear" w:color="auto" w:fill="auto"/>
            <w:hideMark/>
          </w:tcPr>
          <w:p w14:paraId="24469599"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Idem ca mai sus.</w:t>
            </w:r>
          </w:p>
        </w:tc>
      </w:tr>
      <w:tr w:rsidR="00066F52" w:rsidRPr="00066F52" w14:paraId="72642982" w14:textId="77777777" w:rsidTr="00720795">
        <w:trPr>
          <w:trHeight w:val="1320"/>
        </w:trPr>
        <w:tc>
          <w:tcPr>
            <w:tcW w:w="245" w:type="pct"/>
            <w:tcBorders>
              <w:top w:val="nil"/>
              <w:left w:val="single" w:sz="4" w:space="0" w:color="auto"/>
              <w:bottom w:val="single" w:sz="4" w:space="0" w:color="auto"/>
              <w:right w:val="single" w:sz="4" w:space="0" w:color="auto"/>
            </w:tcBorders>
            <w:shd w:val="clear" w:color="auto" w:fill="auto"/>
            <w:hideMark/>
          </w:tcPr>
          <w:p w14:paraId="0840725A"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72</w:t>
            </w:r>
          </w:p>
        </w:tc>
        <w:tc>
          <w:tcPr>
            <w:tcW w:w="265" w:type="pct"/>
            <w:tcBorders>
              <w:top w:val="nil"/>
              <w:left w:val="nil"/>
              <w:bottom w:val="single" w:sz="4" w:space="0" w:color="auto"/>
              <w:right w:val="single" w:sz="4" w:space="0" w:color="auto"/>
            </w:tcBorders>
            <w:shd w:val="clear" w:color="auto" w:fill="auto"/>
            <w:hideMark/>
          </w:tcPr>
          <w:p w14:paraId="2B6F93A7"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9</w:t>
            </w:r>
          </w:p>
        </w:tc>
        <w:tc>
          <w:tcPr>
            <w:tcW w:w="939" w:type="pct"/>
            <w:tcBorders>
              <w:top w:val="nil"/>
              <w:left w:val="nil"/>
              <w:bottom w:val="single" w:sz="4" w:space="0" w:color="auto"/>
              <w:right w:val="single" w:sz="4" w:space="0" w:color="auto"/>
            </w:tcBorders>
            <w:shd w:val="clear" w:color="auto" w:fill="auto"/>
            <w:hideMark/>
          </w:tcPr>
          <w:p w14:paraId="728046E8"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670" w:type="pct"/>
            <w:tcBorders>
              <w:top w:val="nil"/>
              <w:left w:val="nil"/>
              <w:bottom w:val="single" w:sz="4" w:space="0" w:color="auto"/>
              <w:right w:val="single" w:sz="4" w:space="0" w:color="auto"/>
            </w:tcBorders>
            <w:shd w:val="clear" w:color="auto" w:fill="auto"/>
            <w:hideMark/>
          </w:tcPr>
          <w:p w14:paraId="3E2D18EF"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63225CF8"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(8) În situația în care sunt identificați factori de risc ANRE va exonera OD concesionar de plata compensațiilor către utilizatori până la data eliminării riscurilor identificate.</w:t>
            </w:r>
          </w:p>
        </w:tc>
        <w:tc>
          <w:tcPr>
            <w:tcW w:w="930" w:type="pct"/>
            <w:tcBorders>
              <w:top w:val="nil"/>
              <w:left w:val="nil"/>
              <w:bottom w:val="single" w:sz="4" w:space="0" w:color="auto"/>
              <w:right w:val="single" w:sz="4" w:space="0" w:color="auto"/>
            </w:tcBorders>
            <w:shd w:val="clear" w:color="auto" w:fill="auto"/>
            <w:hideMark/>
          </w:tcPr>
          <w:p w14:paraId="38556F42"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tcBorders>
              <w:top w:val="nil"/>
              <w:left w:val="nil"/>
              <w:bottom w:val="single" w:sz="4" w:space="0" w:color="auto"/>
              <w:right w:val="single" w:sz="4" w:space="0" w:color="auto"/>
            </w:tcBorders>
            <w:shd w:val="clear" w:color="auto" w:fill="auto"/>
            <w:hideMark/>
          </w:tcPr>
          <w:p w14:paraId="409A16A9"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color w:val="000000"/>
                <w:sz w:val="20"/>
                <w:szCs w:val="20"/>
                <w:lang w:eastAsia="ro-RO"/>
              </w:rPr>
              <w:br/>
              <w:t>După preluare este obligația ODC să aducă rețelele în starea tehnică necesară îndeplinirii condițiilor de calitate impuse prin reglementările în vigoare.</w:t>
            </w:r>
          </w:p>
        </w:tc>
      </w:tr>
      <w:tr w:rsidR="00066F52" w:rsidRPr="00066F52" w14:paraId="7D69003D" w14:textId="77777777" w:rsidTr="00720795">
        <w:trPr>
          <w:trHeight w:val="2112"/>
        </w:trPr>
        <w:tc>
          <w:tcPr>
            <w:tcW w:w="245" w:type="pct"/>
            <w:tcBorders>
              <w:top w:val="nil"/>
              <w:left w:val="single" w:sz="4" w:space="0" w:color="auto"/>
              <w:bottom w:val="single" w:sz="4" w:space="0" w:color="auto"/>
              <w:right w:val="single" w:sz="4" w:space="0" w:color="auto"/>
            </w:tcBorders>
            <w:shd w:val="clear" w:color="auto" w:fill="auto"/>
            <w:hideMark/>
          </w:tcPr>
          <w:p w14:paraId="07995172"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lastRenderedPageBreak/>
              <w:t>73</w:t>
            </w:r>
          </w:p>
        </w:tc>
        <w:tc>
          <w:tcPr>
            <w:tcW w:w="265" w:type="pct"/>
            <w:tcBorders>
              <w:top w:val="nil"/>
              <w:left w:val="nil"/>
              <w:bottom w:val="single" w:sz="4" w:space="0" w:color="auto"/>
              <w:right w:val="single" w:sz="4" w:space="0" w:color="auto"/>
            </w:tcBorders>
            <w:shd w:val="clear" w:color="auto" w:fill="auto"/>
            <w:hideMark/>
          </w:tcPr>
          <w:p w14:paraId="1FD64793"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9</w:t>
            </w:r>
          </w:p>
        </w:tc>
        <w:tc>
          <w:tcPr>
            <w:tcW w:w="939" w:type="pct"/>
            <w:tcBorders>
              <w:top w:val="nil"/>
              <w:left w:val="nil"/>
              <w:bottom w:val="single" w:sz="4" w:space="0" w:color="auto"/>
              <w:right w:val="single" w:sz="4" w:space="0" w:color="auto"/>
            </w:tcBorders>
            <w:shd w:val="clear" w:color="auto" w:fill="auto"/>
            <w:hideMark/>
          </w:tcPr>
          <w:p w14:paraId="7A849EFA"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670" w:type="pct"/>
            <w:tcBorders>
              <w:top w:val="nil"/>
              <w:left w:val="nil"/>
              <w:bottom w:val="single" w:sz="4" w:space="0" w:color="auto"/>
              <w:right w:val="single" w:sz="4" w:space="0" w:color="auto"/>
            </w:tcBorders>
            <w:shd w:val="clear" w:color="auto" w:fill="auto"/>
            <w:hideMark/>
          </w:tcPr>
          <w:p w14:paraId="4CD3CF16"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74BC58FA"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(9) În situația în care vânzătorul este deținător la unei licențe de distribuție a energiei electrice, aducerea instalațiilor la starea corespunzătoare revine acestuia, și se va face înainte de perfectarea contractului de vânzare-cumpărare.</w:t>
            </w:r>
          </w:p>
        </w:tc>
        <w:tc>
          <w:tcPr>
            <w:tcW w:w="930" w:type="pct"/>
            <w:tcBorders>
              <w:top w:val="nil"/>
              <w:left w:val="nil"/>
              <w:bottom w:val="single" w:sz="4" w:space="0" w:color="auto"/>
              <w:right w:val="single" w:sz="4" w:space="0" w:color="auto"/>
            </w:tcBorders>
            <w:shd w:val="clear" w:color="auto" w:fill="auto"/>
            <w:noWrap/>
            <w:hideMark/>
          </w:tcPr>
          <w:p w14:paraId="78AE74CA"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790" w:type="pct"/>
            <w:tcBorders>
              <w:top w:val="nil"/>
              <w:left w:val="nil"/>
              <w:bottom w:val="single" w:sz="4" w:space="0" w:color="auto"/>
              <w:right w:val="single" w:sz="4" w:space="0" w:color="auto"/>
            </w:tcBorders>
            <w:shd w:val="clear" w:color="auto" w:fill="auto"/>
            <w:hideMark/>
          </w:tcPr>
          <w:p w14:paraId="57C360E4"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 xml:space="preserve">Prevederea este restrictivă și poate fi interpretată ca fiind în contradicție cu prevederile legii. Un operator ajuns în situația prevăzută la art. 46 alin (2) este puțin probabil sau imposibil să mai aibă capabilitatea de a aduce instalațiile la stadiul cerut de propunerea de alineat.  </w:t>
            </w:r>
          </w:p>
        </w:tc>
      </w:tr>
      <w:tr w:rsidR="00066F52" w:rsidRPr="00066F52" w14:paraId="01660216" w14:textId="77777777" w:rsidTr="00720795">
        <w:trPr>
          <w:trHeight w:val="2112"/>
        </w:trPr>
        <w:tc>
          <w:tcPr>
            <w:tcW w:w="245" w:type="pct"/>
            <w:tcBorders>
              <w:top w:val="nil"/>
              <w:left w:val="single" w:sz="4" w:space="0" w:color="auto"/>
              <w:bottom w:val="single" w:sz="4" w:space="0" w:color="auto"/>
              <w:right w:val="single" w:sz="4" w:space="0" w:color="auto"/>
            </w:tcBorders>
            <w:shd w:val="clear" w:color="auto" w:fill="auto"/>
            <w:hideMark/>
          </w:tcPr>
          <w:p w14:paraId="403B1634"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74</w:t>
            </w:r>
          </w:p>
        </w:tc>
        <w:tc>
          <w:tcPr>
            <w:tcW w:w="265" w:type="pct"/>
            <w:vMerge w:val="restart"/>
            <w:tcBorders>
              <w:top w:val="nil"/>
              <w:left w:val="single" w:sz="4" w:space="0" w:color="auto"/>
              <w:bottom w:val="single" w:sz="4" w:space="0" w:color="auto"/>
              <w:right w:val="single" w:sz="4" w:space="0" w:color="auto"/>
            </w:tcBorders>
            <w:shd w:val="clear" w:color="auto" w:fill="auto"/>
            <w:hideMark/>
          </w:tcPr>
          <w:p w14:paraId="35CF8E0D" w14:textId="77777777" w:rsidR="00066F52" w:rsidRPr="00066F52" w:rsidRDefault="00066F52" w:rsidP="00066F52">
            <w:pPr>
              <w:spacing w:after="0" w:line="240" w:lineRule="auto"/>
              <w:jc w:val="center"/>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10</w:t>
            </w:r>
          </w:p>
        </w:tc>
        <w:tc>
          <w:tcPr>
            <w:tcW w:w="939" w:type="pct"/>
            <w:vMerge w:val="restart"/>
            <w:tcBorders>
              <w:top w:val="nil"/>
              <w:left w:val="single" w:sz="4" w:space="0" w:color="auto"/>
              <w:bottom w:val="single" w:sz="4" w:space="0" w:color="auto"/>
              <w:right w:val="single" w:sz="4" w:space="0" w:color="auto"/>
            </w:tcBorders>
            <w:shd w:val="clear" w:color="auto" w:fill="auto"/>
            <w:hideMark/>
          </w:tcPr>
          <w:p w14:paraId="7689554C" w14:textId="77777777" w:rsidR="00066F52" w:rsidRPr="00066F52" w:rsidRDefault="00066F52" w:rsidP="00066F52">
            <w:pPr>
              <w:spacing w:after="0" w:line="240" w:lineRule="auto"/>
              <w:jc w:val="center"/>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Persoana fizică/juridică care deţine capacitățile energetice de distribuție ce fac obiectul transferului de proprietate conform prevederilor prezentei metodologii are obligația ca odată cu oferta de vânzare să pună la dispoziția operatorului de distribuție concesionar documentația necesarǎ preluǎrii activelor, conform prevederilor art. 10.</w:t>
            </w:r>
          </w:p>
        </w:tc>
        <w:tc>
          <w:tcPr>
            <w:tcW w:w="670" w:type="pct"/>
            <w:tcBorders>
              <w:top w:val="nil"/>
              <w:left w:val="nil"/>
              <w:bottom w:val="single" w:sz="4" w:space="0" w:color="auto"/>
              <w:right w:val="single" w:sz="4" w:space="0" w:color="auto"/>
            </w:tcBorders>
            <w:shd w:val="clear" w:color="auto" w:fill="auto"/>
            <w:hideMark/>
          </w:tcPr>
          <w:p w14:paraId="0D9A36E1"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DEO</w:t>
            </w:r>
          </w:p>
        </w:tc>
        <w:tc>
          <w:tcPr>
            <w:tcW w:w="1161" w:type="pct"/>
            <w:tcBorders>
              <w:top w:val="nil"/>
              <w:left w:val="nil"/>
              <w:bottom w:val="single" w:sz="4" w:space="0" w:color="auto"/>
              <w:right w:val="single" w:sz="4" w:space="0" w:color="auto"/>
            </w:tcBorders>
            <w:shd w:val="clear" w:color="auto" w:fill="auto"/>
            <w:hideMark/>
          </w:tcPr>
          <w:p w14:paraId="7038095C"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xml:space="preserve">Persoana fizică/juridică care deţine capacitățile energetice de distribuție ce fac obiectul transferului de proprietate conform prevederilor prezentei metodologii are obligația ca odată cu oferta de vânzare să pună la dispoziția operatorului de distribuție concesionar documentația necesarǎ preluǎrii activelor, conform prevederilor art. </w:t>
            </w:r>
            <w:r w:rsidRPr="00066F52">
              <w:rPr>
                <w:rFonts w:ascii="Times New Roman" w:eastAsia="Times New Roman" w:hAnsi="Times New Roman" w:cs="Times New Roman"/>
                <w:color w:val="FF0000"/>
                <w:sz w:val="20"/>
                <w:szCs w:val="20"/>
                <w:lang w:eastAsia="ro-RO"/>
              </w:rPr>
              <w:t>9 alin (1).</w:t>
            </w:r>
          </w:p>
        </w:tc>
        <w:tc>
          <w:tcPr>
            <w:tcW w:w="930" w:type="pct"/>
            <w:tcBorders>
              <w:top w:val="nil"/>
              <w:left w:val="nil"/>
              <w:bottom w:val="single" w:sz="4" w:space="0" w:color="auto"/>
              <w:right w:val="single" w:sz="4" w:space="0" w:color="auto"/>
            </w:tcBorders>
            <w:shd w:val="clear" w:color="auto" w:fill="auto"/>
            <w:hideMark/>
          </w:tcPr>
          <w:p w14:paraId="30CC1465"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Recunoasterea in BAR a costurilor generate de prelurile de capacitati energetice de la terti se face in conditiile prevederilor Ord 204, avand la baza fundamentarea preluarii cu documente care atesta valorile de preluare, documente patrimoniale si informatii tehnice necesare pentru integrarea capacitatilor respective in programele anuale de investitii si mentenanta.</w:t>
            </w:r>
          </w:p>
        </w:tc>
        <w:tc>
          <w:tcPr>
            <w:tcW w:w="790" w:type="pct"/>
            <w:tcBorders>
              <w:top w:val="nil"/>
              <w:left w:val="nil"/>
              <w:bottom w:val="single" w:sz="4" w:space="0" w:color="auto"/>
              <w:right w:val="single" w:sz="4" w:space="0" w:color="auto"/>
            </w:tcBorders>
            <w:shd w:val="clear" w:color="auto" w:fill="auto"/>
            <w:hideMark/>
          </w:tcPr>
          <w:p w14:paraId="203737D7"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b/>
                <w:bCs/>
                <w:color w:val="000000"/>
                <w:sz w:val="20"/>
                <w:szCs w:val="20"/>
                <w:lang w:eastAsia="ro-RO"/>
              </w:rPr>
              <w:t>Se acceptă corectarea referinței</w:t>
            </w:r>
            <w:r w:rsidRPr="00066F52">
              <w:rPr>
                <w:rFonts w:ascii="Times New Roman" w:eastAsia="Times New Roman" w:hAnsi="Times New Roman" w:cs="Times New Roman"/>
                <w:color w:val="000000"/>
                <w:sz w:val="20"/>
                <w:szCs w:val="20"/>
                <w:lang w:eastAsia="ro-RO"/>
              </w:rPr>
              <w:t xml:space="preserve"> „conform art. 9”. </w:t>
            </w: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color w:val="000000"/>
                <w:sz w:val="20"/>
                <w:szCs w:val="20"/>
                <w:lang w:eastAsia="ro-RO"/>
              </w:rPr>
              <w:t xml:space="preserve"> limitarea referinței la art. 9 alin (1) întrucât s-ar limita nejustificat preluarea de capacități de la persoane fizice/juridice care nu pot pune la dispoziție toate datele prevăzute la alin. (1).</w:t>
            </w:r>
          </w:p>
        </w:tc>
      </w:tr>
      <w:tr w:rsidR="00066F52" w:rsidRPr="00066F52" w14:paraId="30C6EC9F" w14:textId="77777777" w:rsidTr="00720795">
        <w:trPr>
          <w:trHeight w:val="1584"/>
        </w:trPr>
        <w:tc>
          <w:tcPr>
            <w:tcW w:w="245" w:type="pct"/>
            <w:tcBorders>
              <w:top w:val="nil"/>
              <w:left w:val="single" w:sz="4" w:space="0" w:color="auto"/>
              <w:bottom w:val="single" w:sz="4" w:space="0" w:color="auto"/>
              <w:right w:val="single" w:sz="4" w:space="0" w:color="auto"/>
            </w:tcBorders>
            <w:shd w:val="clear" w:color="auto" w:fill="auto"/>
            <w:hideMark/>
          </w:tcPr>
          <w:p w14:paraId="416AA457"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75</w:t>
            </w:r>
          </w:p>
        </w:tc>
        <w:tc>
          <w:tcPr>
            <w:tcW w:w="265" w:type="pct"/>
            <w:vMerge/>
            <w:tcBorders>
              <w:top w:val="nil"/>
              <w:left w:val="single" w:sz="4" w:space="0" w:color="auto"/>
              <w:bottom w:val="single" w:sz="4" w:space="0" w:color="auto"/>
              <w:right w:val="single" w:sz="4" w:space="0" w:color="auto"/>
            </w:tcBorders>
            <w:vAlign w:val="center"/>
            <w:hideMark/>
          </w:tcPr>
          <w:p w14:paraId="332F66BD"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c>
          <w:tcPr>
            <w:tcW w:w="939" w:type="pct"/>
            <w:vMerge/>
            <w:tcBorders>
              <w:top w:val="nil"/>
              <w:left w:val="single" w:sz="4" w:space="0" w:color="auto"/>
              <w:bottom w:val="single" w:sz="4" w:space="0" w:color="auto"/>
              <w:right w:val="single" w:sz="4" w:space="0" w:color="auto"/>
            </w:tcBorders>
            <w:vAlign w:val="center"/>
            <w:hideMark/>
          </w:tcPr>
          <w:p w14:paraId="3C852A64"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p>
        </w:tc>
        <w:tc>
          <w:tcPr>
            <w:tcW w:w="670" w:type="pct"/>
            <w:tcBorders>
              <w:top w:val="nil"/>
              <w:left w:val="nil"/>
              <w:bottom w:val="single" w:sz="4" w:space="0" w:color="auto"/>
              <w:right w:val="single" w:sz="4" w:space="0" w:color="auto"/>
            </w:tcBorders>
            <w:shd w:val="clear" w:color="auto" w:fill="auto"/>
            <w:hideMark/>
          </w:tcPr>
          <w:p w14:paraId="5BB80DFA"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e-Distribuție</w:t>
            </w:r>
          </w:p>
        </w:tc>
        <w:tc>
          <w:tcPr>
            <w:tcW w:w="1161" w:type="pct"/>
            <w:tcBorders>
              <w:top w:val="nil"/>
              <w:left w:val="nil"/>
              <w:bottom w:val="single" w:sz="4" w:space="0" w:color="auto"/>
              <w:right w:val="single" w:sz="4" w:space="0" w:color="auto"/>
            </w:tcBorders>
            <w:shd w:val="clear" w:color="auto" w:fill="auto"/>
            <w:hideMark/>
          </w:tcPr>
          <w:p w14:paraId="3EFD0CE2"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Persoana fizică/juridică care deţine capacitățile energetice de distribuție ce fac obiectul transferului de proprietate conform prevederilor prezentei metodologii are obligația ca odată cu oferta de vânzare să pună la dispoziția operatorului de distribuție concesionar documentația necesarǎ preluǎrii activelor, conform prevederilor art.</w:t>
            </w:r>
            <w:r w:rsidRPr="00066F52">
              <w:rPr>
                <w:rFonts w:ascii="Times New Roman" w:eastAsia="Times New Roman" w:hAnsi="Times New Roman" w:cs="Times New Roman"/>
                <w:color w:val="FF0000"/>
                <w:sz w:val="20"/>
                <w:szCs w:val="20"/>
                <w:lang w:eastAsia="ro-RO"/>
              </w:rPr>
              <w:t xml:space="preserve"> 9</w:t>
            </w:r>
            <w:r w:rsidRPr="00066F52">
              <w:rPr>
                <w:rFonts w:ascii="Times New Roman" w:eastAsia="Times New Roman" w:hAnsi="Times New Roman" w:cs="Times New Roman"/>
                <w:color w:val="000000"/>
                <w:sz w:val="20"/>
                <w:szCs w:val="20"/>
                <w:lang w:eastAsia="ro-RO"/>
              </w:rPr>
              <w:t>.</w:t>
            </w:r>
          </w:p>
        </w:tc>
        <w:tc>
          <w:tcPr>
            <w:tcW w:w="930" w:type="pct"/>
            <w:tcBorders>
              <w:top w:val="nil"/>
              <w:left w:val="nil"/>
              <w:bottom w:val="single" w:sz="4" w:space="0" w:color="auto"/>
              <w:right w:val="single" w:sz="4" w:space="0" w:color="auto"/>
            </w:tcBorders>
            <w:shd w:val="clear" w:color="auto" w:fill="auto"/>
            <w:hideMark/>
          </w:tcPr>
          <w:p w14:paraId="0CE40482"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tcBorders>
              <w:top w:val="nil"/>
              <w:left w:val="nil"/>
              <w:bottom w:val="single" w:sz="4" w:space="0" w:color="auto"/>
              <w:right w:val="single" w:sz="4" w:space="0" w:color="auto"/>
            </w:tcBorders>
            <w:shd w:val="clear" w:color="auto" w:fill="auto"/>
            <w:hideMark/>
          </w:tcPr>
          <w:p w14:paraId="228DB0DE"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 xml:space="preserve">Se acceptă </w:t>
            </w:r>
            <w:r w:rsidRPr="00066F52">
              <w:rPr>
                <w:rFonts w:ascii="Times New Roman" w:eastAsia="Times New Roman" w:hAnsi="Times New Roman" w:cs="Times New Roman"/>
                <w:color w:val="000000"/>
                <w:sz w:val="20"/>
                <w:szCs w:val="20"/>
                <w:lang w:eastAsia="ro-RO"/>
              </w:rPr>
              <w:t>corectarea referinței.</w:t>
            </w:r>
          </w:p>
        </w:tc>
      </w:tr>
      <w:tr w:rsidR="00066F52" w:rsidRPr="00066F52" w14:paraId="37E67C5E" w14:textId="77777777" w:rsidTr="00720795">
        <w:trPr>
          <w:trHeight w:val="1056"/>
        </w:trPr>
        <w:tc>
          <w:tcPr>
            <w:tcW w:w="245" w:type="pct"/>
            <w:tcBorders>
              <w:top w:val="nil"/>
              <w:left w:val="single" w:sz="4" w:space="0" w:color="auto"/>
              <w:bottom w:val="single" w:sz="4" w:space="0" w:color="auto"/>
              <w:right w:val="single" w:sz="4" w:space="0" w:color="auto"/>
            </w:tcBorders>
            <w:shd w:val="clear" w:color="auto" w:fill="auto"/>
            <w:hideMark/>
          </w:tcPr>
          <w:p w14:paraId="5A705D89"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76</w:t>
            </w:r>
          </w:p>
        </w:tc>
        <w:tc>
          <w:tcPr>
            <w:tcW w:w="265" w:type="pct"/>
            <w:tcBorders>
              <w:top w:val="nil"/>
              <w:left w:val="nil"/>
              <w:bottom w:val="single" w:sz="4" w:space="0" w:color="auto"/>
              <w:right w:val="single" w:sz="4" w:space="0" w:color="auto"/>
            </w:tcBorders>
            <w:shd w:val="clear" w:color="auto" w:fill="auto"/>
            <w:hideMark/>
          </w:tcPr>
          <w:p w14:paraId="23C13F71"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nou</w:t>
            </w:r>
          </w:p>
        </w:tc>
        <w:tc>
          <w:tcPr>
            <w:tcW w:w="939" w:type="pct"/>
            <w:tcBorders>
              <w:top w:val="nil"/>
              <w:left w:val="nil"/>
              <w:bottom w:val="single" w:sz="4" w:space="0" w:color="auto"/>
              <w:right w:val="single" w:sz="4" w:space="0" w:color="auto"/>
            </w:tcBorders>
            <w:shd w:val="clear" w:color="auto" w:fill="auto"/>
            <w:hideMark/>
          </w:tcPr>
          <w:p w14:paraId="47AB9064"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670" w:type="pct"/>
            <w:tcBorders>
              <w:top w:val="nil"/>
              <w:left w:val="nil"/>
              <w:bottom w:val="single" w:sz="4" w:space="0" w:color="auto"/>
              <w:right w:val="single" w:sz="4" w:space="0" w:color="auto"/>
            </w:tcBorders>
            <w:shd w:val="clear" w:color="auto" w:fill="auto"/>
            <w:hideMark/>
          </w:tcPr>
          <w:p w14:paraId="1BCF2AF7"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75B00903"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 xml:space="preserve">CAP. V </w:t>
            </w:r>
            <w:r w:rsidRPr="00066F52">
              <w:rPr>
                <w:rFonts w:ascii="Times New Roman" w:eastAsia="Times New Roman" w:hAnsi="Times New Roman" w:cs="Times New Roman"/>
                <w:color w:val="FF0000"/>
                <w:sz w:val="20"/>
                <w:szCs w:val="20"/>
                <w:vertAlign w:val="superscript"/>
                <w:lang w:eastAsia="ro-RO"/>
              </w:rPr>
              <w:t>^</w:t>
            </w:r>
            <w:r w:rsidRPr="00066F52">
              <w:rPr>
                <w:rFonts w:ascii="Times New Roman" w:eastAsia="Times New Roman" w:hAnsi="Times New Roman" w:cs="Times New Roman"/>
                <w:color w:val="FF0000"/>
                <w:sz w:val="20"/>
                <w:szCs w:val="20"/>
                <w:lang w:eastAsia="ro-RO"/>
              </w:rPr>
              <w:t>1</w:t>
            </w:r>
            <w:r w:rsidRPr="00066F52">
              <w:rPr>
                <w:rFonts w:ascii="Times New Roman" w:eastAsia="Times New Roman" w:hAnsi="Times New Roman" w:cs="Times New Roman"/>
                <w:color w:val="FF0000"/>
                <w:sz w:val="20"/>
                <w:szCs w:val="20"/>
                <w:lang w:eastAsia="ro-RO"/>
              </w:rPr>
              <w:br/>
              <w:t xml:space="preserve">Avizarea de către ANRE a preluării de capacităţi energetice de distribuţie </w:t>
            </w:r>
          </w:p>
        </w:tc>
        <w:tc>
          <w:tcPr>
            <w:tcW w:w="930" w:type="pct"/>
            <w:tcBorders>
              <w:top w:val="nil"/>
              <w:left w:val="nil"/>
              <w:bottom w:val="single" w:sz="4" w:space="0" w:color="auto"/>
              <w:right w:val="single" w:sz="4" w:space="0" w:color="auto"/>
            </w:tcBorders>
            <w:shd w:val="clear" w:color="auto" w:fill="auto"/>
            <w:hideMark/>
          </w:tcPr>
          <w:p w14:paraId="7D56BCA2"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Corelat cu art. 5 alin.(6).</w:t>
            </w:r>
            <w:r w:rsidRPr="00066F52">
              <w:rPr>
                <w:rFonts w:ascii="Times New Roman" w:eastAsia="Times New Roman" w:hAnsi="Times New Roman" w:cs="Times New Roman"/>
                <w:color w:val="000000"/>
                <w:sz w:val="20"/>
                <w:szCs w:val="20"/>
                <w:lang w:eastAsia="ro-RO"/>
              </w:rPr>
              <w:br/>
              <w:t>Consideram necesar avizul ANRE in vederea recunosteri in BAR a capacitatilor energetice preluate.</w:t>
            </w:r>
          </w:p>
        </w:tc>
        <w:tc>
          <w:tcPr>
            <w:tcW w:w="790" w:type="pct"/>
            <w:vMerge w:val="restart"/>
            <w:tcBorders>
              <w:top w:val="nil"/>
              <w:left w:val="single" w:sz="4" w:space="0" w:color="auto"/>
              <w:bottom w:val="single" w:sz="4" w:space="0" w:color="auto"/>
              <w:right w:val="single" w:sz="4" w:space="0" w:color="auto"/>
            </w:tcBorders>
            <w:shd w:val="clear" w:color="auto" w:fill="auto"/>
            <w:hideMark/>
          </w:tcPr>
          <w:p w14:paraId="038F9F7F"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Nu se acceptă.</w:t>
            </w:r>
            <w:r w:rsidRPr="00066F52">
              <w:rPr>
                <w:rFonts w:ascii="Times New Roman" w:eastAsia="Times New Roman" w:hAnsi="Times New Roman" w:cs="Times New Roman"/>
                <w:b/>
                <w:bCs/>
                <w:color w:val="000000"/>
                <w:sz w:val="20"/>
                <w:szCs w:val="20"/>
                <w:lang w:eastAsia="ro-RO"/>
              </w:rPr>
              <w:br/>
            </w:r>
            <w:r w:rsidRPr="00066F52">
              <w:rPr>
                <w:rFonts w:ascii="Times New Roman" w:eastAsia="Times New Roman" w:hAnsi="Times New Roman" w:cs="Times New Roman"/>
                <w:color w:val="000000"/>
                <w:sz w:val="20"/>
                <w:szCs w:val="20"/>
                <w:lang w:eastAsia="ro-RO"/>
              </w:rPr>
              <w:t xml:space="preserve">Propunerea de completare implică impunerea de către ANRE a unei condiții care excede </w:t>
            </w:r>
            <w:r w:rsidRPr="00066F52">
              <w:rPr>
                <w:rFonts w:ascii="Times New Roman" w:eastAsia="Times New Roman" w:hAnsi="Times New Roman" w:cs="Times New Roman"/>
                <w:color w:val="000000"/>
                <w:sz w:val="20"/>
                <w:szCs w:val="20"/>
                <w:lang w:eastAsia="ro-RO"/>
              </w:rPr>
              <w:lastRenderedPageBreak/>
              <w:t>prevederile legii. Modificarea Legii 123/2012 adusă de prevederile Legii 155/2020 elimină avizul ANRE din procesul de preluare de capacități energetice.</w:t>
            </w:r>
          </w:p>
        </w:tc>
      </w:tr>
      <w:tr w:rsidR="00066F52" w:rsidRPr="00066F52" w14:paraId="3622DE40" w14:textId="77777777" w:rsidTr="00720795">
        <w:trPr>
          <w:trHeight w:val="1056"/>
        </w:trPr>
        <w:tc>
          <w:tcPr>
            <w:tcW w:w="245" w:type="pct"/>
            <w:tcBorders>
              <w:top w:val="nil"/>
              <w:left w:val="single" w:sz="4" w:space="0" w:color="auto"/>
              <w:bottom w:val="single" w:sz="4" w:space="0" w:color="auto"/>
              <w:right w:val="single" w:sz="4" w:space="0" w:color="auto"/>
            </w:tcBorders>
            <w:shd w:val="clear" w:color="auto" w:fill="auto"/>
            <w:hideMark/>
          </w:tcPr>
          <w:p w14:paraId="203DE297"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lastRenderedPageBreak/>
              <w:t>77</w:t>
            </w:r>
          </w:p>
        </w:tc>
        <w:tc>
          <w:tcPr>
            <w:tcW w:w="265" w:type="pct"/>
            <w:tcBorders>
              <w:top w:val="nil"/>
              <w:left w:val="nil"/>
              <w:bottom w:val="single" w:sz="4" w:space="0" w:color="auto"/>
              <w:right w:val="single" w:sz="4" w:space="0" w:color="auto"/>
            </w:tcBorders>
            <w:shd w:val="clear" w:color="auto" w:fill="auto"/>
            <w:hideMark/>
          </w:tcPr>
          <w:p w14:paraId="012A766D"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nou</w:t>
            </w:r>
          </w:p>
        </w:tc>
        <w:tc>
          <w:tcPr>
            <w:tcW w:w="939" w:type="pct"/>
            <w:tcBorders>
              <w:top w:val="nil"/>
              <w:left w:val="nil"/>
              <w:bottom w:val="single" w:sz="4" w:space="0" w:color="auto"/>
              <w:right w:val="single" w:sz="4" w:space="0" w:color="auto"/>
            </w:tcBorders>
            <w:shd w:val="clear" w:color="auto" w:fill="auto"/>
            <w:hideMark/>
          </w:tcPr>
          <w:p w14:paraId="550DF695"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670" w:type="pct"/>
            <w:tcBorders>
              <w:top w:val="nil"/>
              <w:left w:val="nil"/>
              <w:bottom w:val="single" w:sz="4" w:space="0" w:color="auto"/>
              <w:right w:val="single" w:sz="4" w:space="0" w:color="auto"/>
            </w:tcBorders>
            <w:shd w:val="clear" w:color="auto" w:fill="auto"/>
            <w:hideMark/>
          </w:tcPr>
          <w:p w14:paraId="13B99ACF"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5274AC9F"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Art. 10^1 - Operatorul de distribuţie concesionar este obligat să solicite ANRE avizarea preluării de capacităţi energetice de distribuţie în una dintre următoarele situaţii:</w:t>
            </w:r>
          </w:p>
        </w:tc>
        <w:tc>
          <w:tcPr>
            <w:tcW w:w="930" w:type="pct"/>
            <w:tcBorders>
              <w:top w:val="nil"/>
              <w:left w:val="nil"/>
              <w:bottom w:val="single" w:sz="4" w:space="0" w:color="auto"/>
              <w:right w:val="single" w:sz="4" w:space="0" w:color="auto"/>
            </w:tcBorders>
            <w:shd w:val="clear" w:color="auto" w:fill="auto"/>
            <w:hideMark/>
          </w:tcPr>
          <w:p w14:paraId="610F3D28"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vMerge/>
            <w:tcBorders>
              <w:top w:val="nil"/>
              <w:left w:val="single" w:sz="4" w:space="0" w:color="auto"/>
              <w:bottom w:val="single" w:sz="4" w:space="0" w:color="auto"/>
              <w:right w:val="single" w:sz="4" w:space="0" w:color="auto"/>
            </w:tcBorders>
            <w:vAlign w:val="center"/>
            <w:hideMark/>
          </w:tcPr>
          <w:p w14:paraId="20AA08DE"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r>
      <w:tr w:rsidR="00066F52" w:rsidRPr="00066F52" w14:paraId="5122479A" w14:textId="77777777" w:rsidTr="00720795">
        <w:trPr>
          <w:trHeight w:val="1056"/>
        </w:trPr>
        <w:tc>
          <w:tcPr>
            <w:tcW w:w="245" w:type="pct"/>
            <w:tcBorders>
              <w:top w:val="nil"/>
              <w:left w:val="single" w:sz="4" w:space="0" w:color="auto"/>
              <w:bottom w:val="single" w:sz="4" w:space="0" w:color="auto"/>
              <w:right w:val="single" w:sz="4" w:space="0" w:color="auto"/>
            </w:tcBorders>
            <w:shd w:val="clear" w:color="auto" w:fill="auto"/>
            <w:hideMark/>
          </w:tcPr>
          <w:p w14:paraId="72B52087"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78</w:t>
            </w:r>
          </w:p>
        </w:tc>
        <w:tc>
          <w:tcPr>
            <w:tcW w:w="265" w:type="pct"/>
            <w:tcBorders>
              <w:top w:val="nil"/>
              <w:left w:val="nil"/>
              <w:bottom w:val="single" w:sz="4" w:space="0" w:color="auto"/>
              <w:right w:val="single" w:sz="4" w:space="0" w:color="auto"/>
            </w:tcBorders>
            <w:shd w:val="clear" w:color="auto" w:fill="auto"/>
            <w:hideMark/>
          </w:tcPr>
          <w:p w14:paraId="29ADCEBC"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nou</w:t>
            </w:r>
          </w:p>
        </w:tc>
        <w:tc>
          <w:tcPr>
            <w:tcW w:w="939" w:type="pct"/>
            <w:tcBorders>
              <w:top w:val="nil"/>
              <w:left w:val="nil"/>
              <w:bottom w:val="single" w:sz="4" w:space="0" w:color="auto"/>
              <w:right w:val="single" w:sz="4" w:space="0" w:color="auto"/>
            </w:tcBorders>
            <w:shd w:val="clear" w:color="auto" w:fill="auto"/>
            <w:hideMark/>
          </w:tcPr>
          <w:p w14:paraId="0BE0C729"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670" w:type="pct"/>
            <w:tcBorders>
              <w:top w:val="nil"/>
              <w:left w:val="nil"/>
              <w:bottom w:val="single" w:sz="4" w:space="0" w:color="auto"/>
              <w:right w:val="single" w:sz="4" w:space="0" w:color="auto"/>
            </w:tcBorders>
            <w:shd w:val="clear" w:color="auto" w:fill="auto"/>
            <w:hideMark/>
          </w:tcPr>
          <w:p w14:paraId="49452099"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7C0069F7"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a) preţul de transfer al capacităţilor energetice de distribuţie este mai mare sau egal cu 200.000 lei;</w:t>
            </w:r>
          </w:p>
        </w:tc>
        <w:tc>
          <w:tcPr>
            <w:tcW w:w="930" w:type="pct"/>
            <w:tcBorders>
              <w:top w:val="nil"/>
              <w:left w:val="nil"/>
              <w:bottom w:val="single" w:sz="4" w:space="0" w:color="auto"/>
              <w:right w:val="single" w:sz="4" w:space="0" w:color="auto"/>
            </w:tcBorders>
            <w:shd w:val="clear" w:color="auto" w:fill="auto"/>
            <w:noWrap/>
            <w:hideMark/>
          </w:tcPr>
          <w:p w14:paraId="36EE2783"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790" w:type="pct"/>
            <w:vMerge/>
            <w:tcBorders>
              <w:top w:val="nil"/>
              <w:left w:val="single" w:sz="4" w:space="0" w:color="auto"/>
              <w:bottom w:val="single" w:sz="4" w:space="0" w:color="auto"/>
              <w:right w:val="single" w:sz="4" w:space="0" w:color="auto"/>
            </w:tcBorders>
            <w:vAlign w:val="center"/>
            <w:hideMark/>
          </w:tcPr>
          <w:p w14:paraId="696E8CF3"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r>
      <w:tr w:rsidR="00066F52" w:rsidRPr="00066F52" w14:paraId="334556C0" w14:textId="77777777" w:rsidTr="00720795">
        <w:trPr>
          <w:trHeight w:val="1056"/>
        </w:trPr>
        <w:tc>
          <w:tcPr>
            <w:tcW w:w="245" w:type="pct"/>
            <w:tcBorders>
              <w:top w:val="nil"/>
              <w:left w:val="single" w:sz="4" w:space="0" w:color="auto"/>
              <w:bottom w:val="single" w:sz="4" w:space="0" w:color="auto"/>
              <w:right w:val="single" w:sz="4" w:space="0" w:color="auto"/>
            </w:tcBorders>
            <w:shd w:val="clear" w:color="auto" w:fill="auto"/>
            <w:hideMark/>
          </w:tcPr>
          <w:p w14:paraId="2B21CC6B"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79</w:t>
            </w:r>
          </w:p>
        </w:tc>
        <w:tc>
          <w:tcPr>
            <w:tcW w:w="265" w:type="pct"/>
            <w:tcBorders>
              <w:top w:val="nil"/>
              <w:left w:val="nil"/>
              <w:bottom w:val="single" w:sz="4" w:space="0" w:color="auto"/>
              <w:right w:val="single" w:sz="4" w:space="0" w:color="auto"/>
            </w:tcBorders>
            <w:shd w:val="clear" w:color="auto" w:fill="auto"/>
            <w:hideMark/>
          </w:tcPr>
          <w:p w14:paraId="4AABE6CF"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nou</w:t>
            </w:r>
          </w:p>
        </w:tc>
        <w:tc>
          <w:tcPr>
            <w:tcW w:w="939" w:type="pct"/>
            <w:tcBorders>
              <w:top w:val="nil"/>
              <w:left w:val="nil"/>
              <w:bottom w:val="single" w:sz="4" w:space="0" w:color="auto"/>
              <w:right w:val="single" w:sz="4" w:space="0" w:color="auto"/>
            </w:tcBorders>
            <w:shd w:val="clear" w:color="auto" w:fill="auto"/>
            <w:hideMark/>
          </w:tcPr>
          <w:p w14:paraId="3FC2670B"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670" w:type="pct"/>
            <w:tcBorders>
              <w:top w:val="nil"/>
              <w:left w:val="nil"/>
              <w:bottom w:val="single" w:sz="4" w:space="0" w:color="auto"/>
              <w:right w:val="single" w:sz="4" w:space="0" w:color="auto"/>
            </w:tcBorders>
            <w:shd w:val="clear" w:color="auto" w:fill="auto"/>
            <w:hideMark/>
          </w:tcPr>
          <w:p w14:paraId="1FF7F4A7"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0671747A"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b) preluarea se referă la capacităţile energetice de distribuţie rezultate în urma modificării instalaţiilor de distribuţie a energiei electrice, în condiţiile art. 44 alin. (8) din Legea nr. 123/2012, indiferent de preţul de transfer;</w:t>
            </w:r>
          </w:p>
        </w:tc>
        <w:tc>
          <w:tcPr>
            <w:tcW w:w="930" w:type="pct"/>
            <w:tcBorders>
              <w:top w:val="nil"/>
              <w:left w:val="nil"/>
              <w:bottom w:val="single" w:sz="4" w:space="0" w:color="auto"/>
              <w:right w:val="single" w:sz="4" w:space="0" w:color="auto"/>
            </w:tcBorders>
            <w:shd w:val="clear" w:color="auto" w:fill="auto"/>
            <w:hideMark/>
          </w:tcPr>
          <w:p w14:paraId="498E1C93"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vMerge/>
            <w:tcBorders>
              <w:top w:val="nil"/>
              <w:left w:val="single" w:sz="4" w:space="0" w:color="auto"/>
              <w:bottom w:val="single" w:sz="4" w:space="0" w:color="auto"/>
              <w:right w:val="single" w:sz="4" w:space="0" w:color="auto"/>
            </w:tcBorders>
            <w:vAlign w:val="center"/>
            <w:hideMark/>
          </w:tcPr>
          <w:p w14:paraId="6BEB0C57"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r>
      <w:tr w:rsidR="00066F52" w:rsidRPr="00066F52" w14:paraId="25BC6018" w14:textId="77777777" w:rsidTr="00720795">
        <w:trPr>
          <w:trHeight w:val="1056"/>
        </w:trPr>
        <w:tc>
          <w:tcPr>
            <w:tcW w:w="245" w:type="pct"/>
            <w:tcBorders>
              <w:top w:val="nil"/>
              <w:left w:val="single" w:sz="4" w:space="0" w:color="auto"/>
              <w:bottom w:val="single" w:sz="4" w:space="0" w:color="auto"/>
              <w:right w:val="single" w:sz="4" w:space="0" w:color="auto"/>
            </w:tcBorders>
            <w:shd w:val="clear" w:color="auto" w:fill="auto"/>
            <w:hideMark/>
          </w:tcPr>
          <w:p w14:paraId="061DC205"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80</w:t>
            </w:r>
          </w:p>
        </w:tc>
        <w:tc>
          <w:tcPr>
            <w:tcW w:w="265" w:type="pct"/>
            <w:tcBorders>
              <w:top w:val="nil"/>
              <w:left w:val="nil"/>
              <w:bottom w:val="single" w:sz="4" w:space="0" w:color="auto"/>
              <w:right w:val="single" w:sz="4" w:space="0" w:color="auto"/>
            </w:tcBorders>
            <w:shd w:val="clear" w:color="auto" w:fill="auto"/>
            <w:hideMark/>
          </w:tcPr>
          <w:p w14:paraId="3EA8EB1F"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nou</w:t>
            </w:r>
          </w:p>
        </w:tc>
        <w:tc>
          <w:tcPr>
            <w:tcW w:w="939" w:type="pct"/>
            <w:tcBorders>
              <w:top w:val="nil"/>
              <w:left w:val="nil"/>
              <w:bottom w:val="single" w:sz="4" w:space="0" w:color="auto"/>
              <w:right w:val="single" w:sz="4" w:space="0" w:color="auto"/>
            </w:tcBorders>
            <w:shd w:val="clear" w:color="auto" w:fill="auto"/>
            <w:hideMark/>
          </w:tcPr>
          <w:p w14:paraId="7150CBAA"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670" w:type="pct"/>
            <w:tcBorders>
              <w:top w:val="nil"/>
              <w:left w:val="nil"/>
              <w:bottom w:val="single" w:sz="4" w:space="0" w:color="auto"/>
              <w:right w:val="single" w:sz="4" w:space="0" w:color="auto"/>
            </w:tcBorders>
            <w:shd w:val="clear" w:color="auto" w:fill="auto"/>
            <w:hideMark/>
          </w:tcPr>
          <w:p w14:paraId="43A23CEE"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4208602F"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c) preluarea se referă la capacităţile energetice de distribuţie ale căror deţinători se află în situaţia prevăzută la art. 46 alin. (2) din Legea nr. 123/2012, indiferent de preţul de transfer</w:t>
            </w:r>
          </w:p>
        </w:tc>
        <w:tc>
          <w:tcPr>
            <w:tcW w:w="930" w:type="pct"/>
            <w:tcBorders>
              <w:top w:val="nil"/>
              <w:left w:val="nil"/>
              <w:bottom w:val="single" w:sz="4" w:space="0" w:color="auto"/>
              <w:right w:val="single" w:sz="4" w:space="0" w:color="auto"/>
            </w:tcBorders>
            <w:shd w:val="clear" w:color="auto" w:fill="auto"/>
            <w:hideMark/>
          </w:tcPr>
          <w:p w14:paraId="565ED03A"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vMerge/>
            <w:tcBorders>
              <w:top w:val="nil"/>
              <w:left w:val="single" w:sz="4" w:space="0" w:color="auto"/>
              <w:bottom w:val="single" w:sz="4" w:space="0" w:color="auto"/>
              <w:right w:val="single" w:sz="4" w:space="0" w:color="auto"/>
            </w:tcBorders>
            <w:vAlign w:val="center"/>
            <w:hideMark/>
          </w:tcPr>
          <w:p w14:paraId="0E672328"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r>
      <w:tr w:rsidR="00066F52" w:rsidRPr="00066F52" w14:paraId="7CEC16A1" w14:textId="77777777" w:rsidTr="00720795">
        <w:trPr>
          <w:trHeight w:val="2904"/>
        </w:trPr>
        <w:tc>
          <w:tcPr>
            <w:tcW w:w="245" w:type="pct"/>
            <w:tcBorders>
              <w:top w:val="nil"/>
              <w:left w:val="single" w:sz="4" w:space="0" w:color="auto"/>
              <w:bottom w:val="single" w:sz="4" w:space="0" w:color="auto"/>
              <w:right w:val="single" w:sz="4" w:space="0" w:color="auto"/>
            </w:tcBorders>
            <w:shd w:val="clear" w:color="auto" w:fill="auto"/>
            <w:hideMark/>
          </w:tcPr>
          <w:p w14:paraId="46BF32CA"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81</w:t>
            </w:r>
          </w:p>
        </w:tc>
        <w:tc>
          <w:tcPr>
            <w:tcW w:w="265" w:type="pct"/>
            <w:tcBorders>
              <w:top w:val="nil"/>
              <w:left w:val="nil"/>
              <w:bottom w:val="single" w:sz="4" w:space="0" w:color="auto"/>
              <w:right w:val="single" w:sz="4" w:space="0" w:color="auto"/>
            </w:tcBorders>
            <w:shd w:val="clear" w:color="auto" w:fill="auto"/>
            <w:hideMark/>
          </w:tcPr>
          <w:p w14:paraId="300C4075"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nou</w:t>
            </w:r>
          </w:p>
        </w:tc>
        <w:tc>
          <w:tcPr>
            <w:tcW w:w="939" w:type="pct"/>
            <w:tcBorders>
              <w:top w:val="nil"/>
              <w:left w:val="nil"/>
              <w:bottom w:val="single" w:sz="4" w:space="0" w:color="auto"/>
              <w:right w:val="single" w:sz="4" w:space="0" w:color="auto"/>
            </w:tcBorders>
            <w:shd w:val="clear" w:color="auto" w:fill="auto"/>
            <w:hideMark/>
          </w:tcPr>
          <w:p w14:paraId="61119082"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670" w:type="pct"/>
            <w:tcBorders>
              <w:top w:val="nil"/>
              <w:left w:val="nil"/>
              <w:bottom w:val="single" w:sz="4" w:space="0" w:color="auto"/>
              <w:right w:val="single" w:sz="4" w:space="0" w:color="auto"/>
            </w:tcBorders>
            <w:shd w:val="clear" w:color="auto" w:fill="auto"/>
            <w:hideMark/>
          </w:tcPr>
          <w:p w14:paraId="79E1BA6B"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63B989FD"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 xml:space="preserve">d) În scopul obţinerii avizului operatorul de distribuţie  transmite către ANRE o cerere scrisă privind avizarea de către ANRE a preluării de capacităţi, cu menţionarea capacităţilor energetice pe  care urmează să le preia,  modalitatea şi preţul de transfer al capacităţii energetice, graficul de plăți și propunerea de includere în </w:t>
            </w:r>
            <w:r w:rsidRPr="00066F52">
              <w:rPr>
                <w:rFonts w:ascii="Times New Roman" w:eastAsia="Times New Roman" w:hAnsi="Times New Roman" w:cs="Times New Roman"/>
                <w:i/>
                <w:iCs/>
                <w:color w:val="FF0000"/>
                <w:sz w:val="20"/>
                <w:szCs w:val="20"/>
                <w:lang w:eastAsia="ro-RO"/>
              </w:rPr>
              <w:t>Planul de Investiții</w:t>
            </w:r>
            <w:r w:rsidRPr="00066F52">
              <w:rPr>
                <w:rFonts w:ascii="Times New Roman" w:eastAsia="Times New Roman" w:hAnsi="Times New Roman" w:cs="Times New Roman"/>
                <w:color w:val="FF0000"/>
                <w:sz w:val="20"/>
                <w:szCs w:val="20"/>
                <w:lang w:eastAsia="ro-RO"/>
              </w:rPr>
              <w:t>. Cererea se transmite ANRE în maxim 20 de zile de la finalizarea negocierii sau acceptării ofertei menționată la art. 5 alin.(6).</w:t>
            </w:r>
            <w:r w:rsidRPr="00066F52">
              <w:rPr>
                <w:rFonts w:ascii="Times New Roman" w:eastAsia="Times New Roman" w:hAnsi="Times New Roman" w:cs="Times New Roman"/>
                <w:color w:val="FF0000"/>
                <w:sz w:val="20"/>
                <w:szCs w:val="20"/>
                <w:lang w:eastAsia="ro-RO"/>
              </w:rPr>
              <w:br/>
              <w:t>ANRE are dreptul să solicite completarea documentaţiei transmise dacă, pentru finalizarea analizei privind avizarea solicitată, sunt necesare informaţii suplimentare.</w:t>
            </w:r>
          </w:p>
        </w:tc>
        <w:tc>
          <w:tcPr>
            <w:tcW w:w="930" w:type="pct"/>
            <w:tcBorders>
              <w:top w:val="nil"/>
              <w:left w:val="nil"/>
              <w:bottom w:val="single" w:sz="4" w:space="0" w:color="auto"/>
              <w:right w:val="single" w:sz="4" w:space="0" w:color="auto"/>
            </w:tcBorders>
            <w:shd w:val="clear" w:color="auto" w:fill="auto"/>
            <w:hideMark/>
          </w:tcPr>
          <w:p w14:paraId="5FEF9722"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Avand in vedere ca in momentul in care apare solicitarea de transfer ,  lucrarile de investitii ale anului repsectiv sunt in derulare (contracte de executie in derulare), este absolut necesara acordarea posbilitatilor de esalonare a platilor, corelat cu posibilitatile de incadrare in PI anuale viitoare</w:t>
            </w:r>
          </w:p>
        </w:tc>
        <w:tc>
          <w:tcPr>
            <w:tcW w:w="790" w:type="pct"/>
            <w:vMerge/>
            <w:tcBorders>
              <w:top w:val="nil"/>
              <w:left w:val="single" w:sz="4" w:space="0" w:color="auto"/>
              <w:bottom w:val="single" w:sz="4" w:space="0" w:color="auto"/>
              <w:right w:val="single" w:sz="4" w:space="0" w:color="auto"/>
            </w:tcBorders>
            <w:vAlign w:val="center"/>
            <w:hideMark/>
          </w:tcPr>
          <w:p w14:paraId="0585E698"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r>
      <w:tr w:rsidR="00066F52" w:rsidRPr="00066F52" w14:paraId="6D3362EA" w14:textId="77777777" w:rsidTr="00720795">
        <w:trPr>
          <w:trHeight w:val="1320"/>
        </w:trPr>
        <w:tc>
          <w:tcPr>
            <w:tcW w:w="245" w:type="pct"/>
            <w:tcBorders>
              <w:top w:val="nil"/>
              <w:left w:val="single" w:sz="4" w:space="0" w:color="auto"/>
              <w:bottom w:val="single" w:sz="4" w:space="0" w:color="auto"/>
              <w:right w:val="single" w:sz="4" w:space="0" w:color="auto"/>
            </w:tcBorders>
            <w:shd w:val="clear" w:color="auto" w:fill="auto"/>
            <w:hideMark/>
          </w:tcPr>
          <w:p w14:paraId="082D0E49"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lastRenderedPageBreak/>
              <w:t>82</w:t>
            </w:r>
          </w:p>
        </w:tc>
        <w:tc>
          <w:tcPr>
            <w:tcW w:w="265" w:type="pct"/>
            <w:tcBorders>
              <w:top w:val="nil"/>
              <w:left w:val="nil"/>
              <w:bottom w:val="single" w:sz="4" w:space="0" w:color="auto"/>
              <w:right w:val="single" w:sz="4" w:space="0" w:color="auto"/>
            </w:tcBorders>
            <w:shd w:val="clear" w:color="auto" w:fill="auto"/>
            <w:hideMark/>
          </w:tcPr>
          <w:p w14:paraId="4389BA4C"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nou</w:t>
            </w:r>
          </w:p>
        </w:tc>
        <w:tc>
          <w:tcPr>
            <w:tcW w:w="939" w:type="pct"/>
            <w:tcBorders>
              <w:top w:val="nil"/>
              <w:left w:val="nil"/>
              <w:bottom w:val="single" w:sz="4" w:space="0" w:color="auto"/>
              <w:right w:val="single" w:sz="4" w:space="0" w:color="auto"/>
            </w:tcBorders>
            <w:shd w:val="clear" w:color="auto" w:fill="auto"/>
            <w:hideMark/>
          </w:tcPr>
          <w:p w14:paraId="15BCBCCB"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670" w:type="pct"/>
            <w:tcBorders>
              <w:top w:val="nil"/>
              <w:left w:val="nil"/>
              <w:bottom w:val="single" w:sz="4" w:space="0" w:color="auto"/>
              <w:right w:val="single" w:sz="4" w:space="0" w:color="auto"/>
            </w:tcBorders>
            <w:shd w:val="clear" w:color="auto" w:fill="auto"/>
            <w:hideMark/>
          </w:tcPr>
          <w:p w14:paraId="04A380A8"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0F8B5665"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În cazul în care, părţile implicate în transferul de capacităţi de distribuţie nu se înţeleg cu privire la preţul de transfer, acestea se adresează ANRE. ANRE avizează în maxim 30 de zile preluarea de capacităţi de distribuţie cu mentionarea modului de recunaostere in BAR.</w:t>
            </w:r>
          </w:p>
        </w:tc>
        <w:tc>
          <w:tcPr>
            <w:tcW w:w="930" w:type="pct"/>
            <w:tcBorders>
              <w:top w:val="nil"/>
              <w:left w:val="nil"/>
              <w:bottom w:val="single" w:sz="4" w:space="0" w:color="auto"/>
              <w:right w:val="single" w:sz="4" w:space="0" w:color="auto"/>
            </w:tcBorders>
            <w:shd w:val="clear" w:color="auto" w:fill="auto"/>
            <w:hideMark/>
          </w:tcPr>
          <w:p w14:paraId="6F7E1E5B"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vMerge/>
            <w:tcBorders>
              <w:top w:val="nil"/>
              <w:left w:val="single" w:sz="4" w:space="0" w:color="auto"/>
              <w:bottom w:val="single" w:sz="4" w:space="0" w:color="auto"/>
              <w:right w:val="single" w:sz="4" w:space="0" w:color="auto"/>
            </w:tcBorders>
            <w:vAlign w:val="center"/>
            <w:hideMark/>
          </w:tcPr>
          <w:p w14:paraId="545F75B4"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r>
      <w:tr w:rsidR="00066F52" w:rsidRPr="00066F52" w14:paraId="7530F636" w14:textId="77777777" w:rsidTr="00720795">
        <w:trPr>
          <w:trHeight w:val="1104"/>
        </w:trPr>
        <w:tc>
          <w:tcPr>
            <w:tcW w:w="245" w:type="pct"/>
            <w:tcBorders>
              <w:top w:val="nil"/>
              <w:left w:val="single" w:sz="4" w:space="0" w:color="auto"/>
              <w:bottom w:val="single" w:sz="4" w:space="0" w:color="auto"/>
              <w:right w:val="single" w:sz="4" w:space="0" w:color="auto"/>
            </w:tcBorders>
            <w:shd w:val="clear" w:color="auto" w:fill="auto"/>
            <w:hideMark/>
          </w:tcPr>
          <w:p w14:paraId="676693C1"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83</w:t>
            </w:r>
          </w:p>
        </w:tc>
        <w:tc>
          <w:tcPr>
            <w:tcW w:w="265" w:type="pct"/>
            <w:tcBorders>
              <w:top w:val="nil"/>
              <w:left w:val="nil"/>
              <w:bottom w:val="single" w:sz="4" w:space="0" w:color="auto"/>
              <w:right w:val="single" w:sz="4" w:space="0" w:color="auto"/>
            </w:tcBorders>
            <w:shd w:val="clear" w:color="auto" w:fill="auto"/>
            <w:hideMark/>
          </w:tcPr>
          <w:p w14:paraId="653F50EA"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nou</w:t>
            </w:r>
          </w:p>
        </w:tc>
        <w:tc>
          <w:tcPr>
            <w:tcW w:w="939" w:type="pct"/>
            <w:tcBorders>
              <w:top w:val="nil"/>
              <w:left w:val="nil"/>
              <w:bottom w:val="single" w:sz="4" w:space="0" w:color="auto"/>
              <w:right w:val="single" w:sz="4" w:space="0" w:color="auto"/>
            </w:tcBorders>
            <w:shd w:val="clear" w:color="auto" w:fill="auto"/>
            <w:hideMark/>
          </w:tcPr>
          <w:p w14:paraId="4910203C"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670" w:type="pct"/>
            <w:tcBorders>
              <w:top w:val="nil"/>
              <w:left w:val="nil"/>
              <w:bottom w:val="single" w:sz="4" w:space="0" w:color="auto"/>
              <w:right w:val="single" w:sz="4" w:space="0" w:color="auto"/>
            </w:tcBorders>
            <w:shd w:val="clear" w:color="auto" w:fill="auto"/>
            <w:hideMark/>
          </w:tcPr>
          <w:p w14:paraId="0AB187F9"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57BA1DB1"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 xml:space="preserve"> Părţile încheie contractul prin care se realizează transferul capacităţilor energetice de distribuţie fara a depasi , in situatiile descrise la art 46 (2</w:t>
            </w:r>
            <w:r w:rsidRPr="00066F52">
              <w:rPr>
                <w:rFonts w:ascii="Times New Roman" w:eastAsia="Times New Roman" w:hAnsi="Times New Roman" w:cs="Times New Roman"/>
                <w:color w:val="FF0000"/>
                <w:sz w:val="20"/>
                <w:szCs w:val="20"/>
                <w:vertAlign w:val="superscript"/>
                <w:lang w:eastAsia="ro-RO"/>
              </w:rPr>
              <w:t>2</w:t>
            </w:r>
            <w:r w:rsidRPr="00066F52">
              <w:rPr>
                <w:rFonts w:ascii="Times New Roman" w:eastAsia="Times New Roman" w:hAnsi="Times New Roman" w:cs="Times New Roman"/>
                <w:color w:val="FF0000"/>
                <w:sz w:val="20"/>
                <w:szCs w:val="20"/>
                <w:lang w:eastAsia="ro-RO"/>
              </w:rPr>
              <w:t>) din lege,  termenul de 120 de zile de la data comunicării valorii de achiziţie certificate.</w:t>
            </w:r>
          </w:p>
        </w:tc>
        <w:tc>
          <w:tcPr>
            <w:tcW w:w="930" w:type="pct"/>
            <w:tcBorders>
              <w:top w:val="nil"/>
              <w:left w:val="nil"/>
              <w:bottom w:val="single" w:sz="4" w:space="0" w:color="auto"/>
              <w:right w:val="single" w:sz="4" w:space="0" w:color="auto"/>
            </w:tcBorders>
            <w:shd w:val="clear" w:color="auto" w:fill="auto"/>
            <w:hideMark/>
          </w:tcPr>
          <w:p w14:paraId="1A11FF06"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790" w:type="pct"/>
            <w:vMerge/>
            <w:tcBorders>
              <w:top w:val="nil"/>
              <w:left w:val="single" w:sz="4" w:space="0" w:color="auto"/>
              <w:bottom w:val="single" w:sz="4" w:space="0" w:color="auto"/>
              <w:right w:val="single" w:sz="4" w:space="0" w:color="auto"/>
            </w:tcBorders>
            <w:vAlign w:val="center"/>
            <w:hideMark/>
          </w:tcPr>
          <w:p w14:paraId="3F7135FD"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r>
      <w:tr w:rsidR="00066F52" w:rsidRPr="00066F52" w14:paraId="24E74932" w14:textId="77777777" w:rsidTr="00720795">
        <w:trPr>
          <w:trHeight w:val="1056"/>
        </w:trPr>
        <w:tc>
          <w:tcPr>
            <w:tcW w:w="245" w:type="pct"/>
            <w:tcBorders>
              <w:top w:val="nil"/>
              <w:left w:val="single" w:sz="4" w:space="0" w:color="auto"/>
              <w:bottom w:val="single" w:sz="4" w:space="0" w:color="auto"/>
              <w:right w:val="single" w:sz="4" w:space="0" w:color="auto"/>
            </w:tcBorders>
            <w:shd w:val="clear" w:color="auto" w:fill="auto"/>
            <w:hideMark/>
          </w:tcPr>
          <w:p w14:paraId="72626482"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84</w:t>
            </w:r>
          </w:p>
        </w:tc>
        <w:tc>
          <w:tcPr>
            <w:tcW w:w="265" w:type="pct"/>
            <w:tcBorders>
              <w:top w:val="nil"/>
              <w:left w:val="nil"/>
              <w:bottom w:val="single" w:sz="4" w:space="0" w:color="auto"/>
              <w:right w:val="single" w:sz="4" w:space="0" w:color="auto"/>
            </w:tcBorders>
            <w:shd w:val="clear" w:color="auto" w:fill="auto"/>
            <w:hideMark/>
          </w:tcPr>
          <w:p w14:paraId="43B6C8D6"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nou</w:t>
            </w:r>
          </w:p>
        </w:tc>
        <w:tc>
          <w:tcPr>
            <w:tcW w:w="939" w:type="pct"/>
            <w:tcBorders>
              <w:top w:val="nil"/>
              <w:left w:val="nil"/>
              <w:bottom w:val="single" w:sz="4" w:space="0" w:color="auto"/>
              <w:right w:val="single" w:sz="4" w:space="0" w:color="auto"/>
            </w:tcBorders>
            <w:shd w:val="clear" w:color="auto" w:fill="auto"/>
            <w:hideMark/>
          </w:tcPr>
          <w:p w14:paraId="56438C16"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670" w:type="pct"/>
            <w:tcBorders>
              <w:top w:val="nil"/>
              <w:left w:val="nil"/>
              <w:bottom w:val="single" w:sz="4" w:space="0" w:color="auto"/>
              <w:right w:val="single" w:sz="4" w:space="0" w:color="auto"/>
            </w:tcBorders>
            <w:shd w:val="clear" w:color="auto" w:fill="auto"/>
            <w:hideMark/>
          </w:tcPr>
          <w:p w14:paraId="786219BB"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668210CB"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Art 10^2 - (1) Preluarea de capacităţi energetice de distribuţie se realizează, fără avizul ANRE, în următoarele situaţii:</w:t>
            </w:r>
          </w:p>
        </w:tc>
        <w:tc>
          <w:tcPr>
            <w:tcW w:w="930" w:type="pct"/>
            <w:tcBorders>
              <w:top w:val="nil"/>
              <w:left w:val="nil"/>
              <w:bottom w:val="single" w:sz="4" w:space="0" w:color="auto"/>
              <w:right w:val="single" w:sz="4" w:space="0" w:color="auto"/>
            </w:tcBorders>
            <w:shd w:val="clear" w:color="auto" w:fill="auto"/>
            <w:hideMark/>
          </w:tcPr>
          <w:p w14:paraId="26CB314F"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790" w:type="pct"/>
            <w:vMerge/>
            <w:tcBorders>
              <w:top w:val="nil"/>
              <w:left w:val="single" w:sz="4" w:space="0" w:color="auto"/>
              <w:bottom w:val="single" w:sz="4" w:space="0" w:color="auto"/>
              <w:right w:val="single" w:sz="4" w:space="0" w:color="auto"/>
            </w:tcBorders>
            <w:vAlign w:val="center"/>
            <w:hideMark/>
          </w:tcPr>
          <w:p w14:paraId="5C2F7D50"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r>
      <w:tr w:rsidR="00066F52" w:rsidRPr="00066F52" w14:paraId="3EB342A3" w14:textId="77777777" w:rsidTr="00720795">
        <w:trPr>
          <w:trHeight w:val="1056"/>
        </w:trPr>
        <w:tc>
          <w:tcPr>
            <w:tcW w:w="245" w:type="pct"/>
            <w:tcBorders>
              <w:top w:val="nil"/>
              <w:left w:val="single" w:sz="4" w:space="0" w:color="auto"/>
              <w:bottom w:val="single" w:sz="4" w:space="0" w:color="auto"/>
              <w:right w:val="single" w:sz="4" w:space="0" w:color="auto"/>
            </w:tcBorders>
            <w:shd w:val="clear" w:color="auto" w:fill="auto"/>
            <w:hideMark/>
          </w:tcPr>
          <w:p w14:paraId="57EFC28D"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85</w:t>
            </w:r>
          </w:p>
        </w:tc>
        <w:tc>
          <w:tcPr>
            <w:tcW w:w="265" w:type="pct"/>
            <w:tcBorders>
              <w:top w:val="nil"/>
              <w:left w:val="nil"/>
              <w:bottom w:val="single" w:sz="4" w:space="0" w:color="auto"/>
              <w:right w:val="single" w:sz="4" w:space="0" w:color="auto"/>
            </w:tcBorders>
            <w:shd w:val="clear" w:color="auto" w:fill="auto"/>
            <w:hideMark/>
          </w:tcPr>
          <w:p w14:paraId="24078EB0"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nou</w:t>
            </w:r>
          </w:p>
        </w:tc>
        <w:tc>
          <w:tcPr>
            <w:tcW w:w="939" w:type="pct"/>
            <w:tcBorders>
              <w:top w:val="nil"/>
              <w:left w:val="nil"/>
              <w:bottom w:val="single" w:sz="4" w:space="0" w:color="auto"/>
              <w:right w:val="single" w:sz="4" w:space="0" w:color="auto"/>
            </w:tcBorders>
            <w:shd w:val="clear" w:color="auto" w:fill="auto"/>
            <w:hideMark/>
          </w:tcPr>
          <w:p w14:paraId="50F9CC41"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670" w:type="pct"/>
            <w:tcBorders>
              <w:top w:val="nil"/>
              <w:left w:val="nil"/>
              <w:bottom w:val="single" w:sz="4" w:space="0" w:color="auto"/>
              <w:right w:val="single" w:sz="4" w:space="0" w:color="auto"/>
            </w:tcBorders>
            <w:shd w:val="clear" w:color="auto" w:fill="auto"/>
            <w:hideMark/>
          </w:tcPr>
          <w:p w14:paraId="1A1DBD0C"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01EA2A43"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a) preluarea se realizează prin contract de donaţie, de comodat ori contract de închiriere; sau</w:t>
            </w:r>
          </w:p>
        </w:tc>
        <w:tc>
          <w:tcPr>
            <w:tcW w:w="930" w:type="pct"/>
            <w:tcBorders>
              <w:top w:val="nil"/>
              <w:left w:val="nil"/>
              <w:bottom w:val="single" w:sz="4" w:space="0" w:color="auto"/>
              <w:right w:val="single" w:sz="4" w:space="0" w:color="auto"/>
            </w:tcBorders>
            <w:shd w:val="clear" w:color="auto" w:fill="auto"/>
            <w:hideMark/>
          </w:tcPr>
          <w:p w14:paraId="0F6408F6"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790" w:type="pct"/>
            <w:vMerge/>
            <w:tcBorders>
              <w:top w:val="nil"/>
              <w:left w:val="single" w:sz="4" w:space="0" w:color="auto"/>
              <w:bottom w:val="single" w:sz="4" w:space="0" w:color="auto"/>
              <w:right w:val="single" w:sz="4" w:space="0" w:color="auto"/>
            </w:tcBorders>
            <w:vAlign w:val="center"/>
            <w:hideMark/>
          </w:tcPr>
          <w:p w14:paraId="0BB876D3"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r>
      <w:tr w:rsidR="00066F52" w:rsidRPr="00066F52" w14:paraId="3E54837C" w14:textId="77777777" w:rsidTr="00720795">
        <w:trPr>
          <w:trHeight w:val="1056"/>
        </w:trPr>
        <w:tc>
          <w:tcPr>
            <w:tcW w:w="245" w:type="pct"/>
            <w:tcBorders>
              <w:top w:val="nil"/>
              <w:left w:val="single" w:sz="4" w:space="0" w:color="auto"/>
              <w:bottom w:val="single" w:sz="4" w:space="0" w:color="auto"/>
              <w:right w:val="single" w:sz="4" w:space="0" w:color="auto"/>
            </w:tcBorders>
            <w:shd w:val="clear" w:color="auto" w:fill="auto"/>
            <w:hideMark/>
          </w:tcPr>
          <w:p w14:paraId="7E1033B7"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86</w:t>
            </w:r>
          </w:p>
        </w:tc>
        <w:tc>
          <w:tcPr>
            <w:tcW w:w="265" w:type="pct"/>
            <w:tcBorders>
              <w:top w:val="nil"/>
              <w:left w:val="nil"/>
              <w:bottom w:val="single" w:sz="4" w:space="0" w:color="auto"/>
              <w:right w:val="single" w:sz="4" w:space="0" w:color="auto"/>
            </w:tcBorders>
            <w:shd w:val="clear" w:color="auto" w:fill="auto"/>
            <w:hideMark/>
          </w:tcPr>
          <w:p w14:paraId="4E9CDEC7"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nou</w:t>
            </w:r>
          </w:p>
        </w:tc>
        <w:tc>
          <w:tcPr>
            <w:tcW w:w="939" w:type="pct"/>
            <w:tcBorders>
              <w:top w:val="nil"/>
              <w:left w:val="nil"/>
              <w:bottom w:val="single" w:sz="4" w:space="0" w:color="auto"/>
              <w:right w:val="single" w:sz="4" w:space="0" w:color="auto"/>
            </w:tcBorders>
            <w:shd w:val="clear" w:color="auto" w:fill="auto"/>
            <w:hideMark/>
          </w:tcPr>
          <w:p w14:paraId="731B5653"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670" w:type="pct"/>
            <w:tcBorders>
              <w:top w:val="nil"/>
              <w:left w:val="nil"/>
              <w:bottom w:val="single" w:sz="4" w:space="0" w:color="auto"/>
              <w:right w:val="single" w:sz="4" w:space="0" w:color="auto"/>
            </w:tcBorders>
            <w:shd w:val="clear" w:color="auto" w:fill="auto"/>
            <w:hideMark/>
          </w:tcPr>
          <w:p w14:paraId="7ACBACC7"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72B04D98"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b) preţul de transfer al capacităţilor energetice de distribuţie este mai mic de 200.000 lei.</w:t>
            </w:r>
          </w:p>
        </w:tc>
        <w:tc>
          <w:tcPr>
            <w:tcW w:w="930" w:type="pct"/>
            <w:tcBorders>
              <w:top w:val="nil"/>
              <w:left w:val="nil"/>
              <w:bottom w:val="single" w:sz="4" w:space="0" w:color="auto"/>
              <w:right w:val="single" w:sz="4" w:space="0" w:color="auto"/>
            </w:tcBorders>
            <w:shd w:val="clear" w:color="auto" w:fill="auto"/>
            <w:hideMark/>
          </w:tcPr>
          <w:p w14:paraId="709DB16F"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t> </w:t>
            </w:r>
          </w:p>
        </w:tc>
        <w:tc>
          <w:tcPr>
            <w:tcW w:w="790" w:type="pct"/>
            <w:vMerge/>
            <w:tcBorders>
              <w:top w:val="nil"/>
              <w:left w:val="single" w:sz="4" w:space="0" w:color="auto"/>
              <w:bottom w:val="single" w:sz="4" w:space="0" w:color="auto"/>
              <w:right w:val="single" w:sz="4" w:space="0" w:color="auto"/>
            </w:tcBorders>
            <w:vAlign w:val="center"/>
            <w:hideMark/>
          </w:tcPr>
          <w:p w14:paraId="6CACDAD8"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r>
      <w:tr w:rsidR="00066F52" w:rsidRPr="00066F52" w14:paraId="264E50D8" w14:textId="77777777" w:rsidTr="00720795">
        <w:trPr>
          <w:trHeight w:val="1056"/>
        </w:trPr>
        <w:tc>
          <w:tcPr>
            <w:tcW w:w="245" w:type="pct"/>
            <w:tcBorders>
              <w:top w:val="nil"/>
              <w:left w:val="single" w:sz="4" w:space="0" w:color="auto"/>
              <w:bottom w:val="single" w:sz="4" w:space="0" w:color="auto"/>
              <w:right w:val="single" w:sz="4" w:space="0" w:color="auto"/>
            </w:tcBorders>
            <w:shd w:val="clear" w:color="auto" w:fill="auto"/>
            <w:hideMark/>
          </w:tcPr>
          <w:p w14:paraId="4B44FEFE"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87</w:t>
            </w:r>
          </w:p>
        </w:tc>
        <w:tc>
          <w:tcPr>
            <w:tcW w:w="265" w:type="pct"/>
            <w:tcBorders>
              <w:top w:val="nil"/>
              <w:left w:val="nil"/>
              <w:bottom w:val="single" w:sz="4" w:space="0" w:color="auto"/>
              <w:right w:val="single" w:sz="4" w:space="0" w:color="auto"/>
            </w:tcBorders>
            <w:shd w:val="clear" w:color="auto" w:fill="auto"/>
            <w:hideMark/>
          </w:tcPr>
          <w:p w14:paraId="30F73309"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nou</w:t>
            </w:r>
          </w:p>
        </w:tc>
        <w:tc>
          <w:tcPr>
            <w:tcW w:w="939" w:type="pct"/>
            <w:tcBorders>
              <w:top w:val="nil"/>
              <w:left w:val="nil"/>
              <w:bottom w:val="single" w:sz="4" w:space="0" w:color="auto"/>
              <w:right w:val="single" w:sz="4" w:space="0" w:color="auto"/>
            </w:tcBorders>
            <w:shd w:val="clear" w:color="auto" w:fill="auto"/>
            <w:hideMark/>
          </w:tcPr>
          <w:p w14:paraId="166DB52B"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670" w:type="pct"/>
            <w:tcBorders>
              <w:top w:val="nil"/>
              <w:left w:val="nil"/>
              <w:bottom w:val="single" w:sz="4" w:space="0" w:color="auto"/>
              <w:right w:val="single" w:sz="4" w:space="0" w:color="auto"/>
            </w:tcBorders>
            <w:shd w:val="clear" w:color="auto" w:fill="auto"/>
            <w:hideMark/>
          </w:tcPr>
          <w:p w14:paraId="09CBDE62"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7AF0C3DE" w14:textId="77777777" w:rsid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color w:val="FF0000"/>
                <w:sz w:val="20"/>
                <w:szCs w:val="20"/>
                <w:lang w:eastAsia="ro-RO"/>
              </w:rPr>
              <w:t>(2) În situaţiile prevăzute la alin. (1), părţile stabilesc condiţiile de transfer al capacităţilor energetice de distribuţie pe baza documentelor prevăzute la art. 11, cu respectarea regulilor şi principiilor prevăzute de prezenta metodologie.</w:t>
            </w:r>
          </w:p>
          <w:p w14:paraId="1DEBE252" w14:textId="77777777" w:rsidR="00066F52" w:rsidRPr="00066F52" w:rsidRDefault="00066F52" w:rsidP="00066F52">
            <w:pPr>
              <w:rPr>
                <w:rFonts w:ascii="Times New Roman" w:eastAsia="Times New Roman" w:hAnsi="Times New Roman" w:cs="Times New Roman"/>
                <w:sz w:val="20"/>
                <w:szCs w:val="20"/>
                <w:lang w:eastAsia="ro-RO"/>
              </w:rPr>
            </w:pPr>
          </w:p>
          <w:p w14:paraId="6C797559" w14:textId="77777777" w:rsidR="00066F52" w:rsidRPr="00066F52" w:rsidRDefault="00066F52" w:rsidP="00066F52">
            <w:pPr>
              <w:rPr>
                <w:rFonts w:ascii="Times New Roman" w:eastAsia="Times New Roman" w:hAnsi="Times New Roman" w:cs="Times New Roman"/>
                <w:sz w:val="20"/>
                <w:szCs w:val="20"/>
                <w:lang w:eastAsia="ro-RO"/>
              </w:rPr>
            </w:pPr>
          </w:p>
          <w:p w14:paraId="7954ECA4" w14:textId="1458EB2B" w:rsidR="00066F52" w:rsidRDefault="00066F52" w:rsidP="00066F52">
            <w:pPr>
              <w:tabs>
                <w:tab w:val="left" w:pos="1092"/>
              </w:tabs>
              <w:rPr>
                <w:rFonts w:ascii="Times New Roman" w:eastAsia="Times New Roman" w:hAnsi="Times New Roman" w:cs="Times New Roman"/>
                <w:color w:val="FF0000"/>
                <w:sz w:val="20"/>
                <w:szCs w:val="20"/>
                <w:lang w:eastAsia="ro-RO"/>
              </w:rPr>
            </w:pPr>
            <w:r>
              <w:rPr>
                <w:rFonts w:ascii="Times New Roman" w:eastAsia="Times New Roman" w:hAnsi="Times New Roman" w:cs="Times New Roman"/>
                <w:color w:val="FF0000"/>
                <w:sz w:val="20"/>
                <w:szCs w:val="20"/>
                <w:lang w:eastAsia="ro-RO"/>
              </w:rPr>
              <w:lastRenderedPageBreak/>
              <w:tab/>
            </w:r>
          </w:p>
          <w:p w14:paraId="6D1F0C12" w14:textId="4A0747C3" w:rsidR="00066F52" w:rsidRPr="00066F52" w:rsidRDefault="00066F52" w:rsidP="00066F52">
            <w:pPr>
              <w:tabs>
                <w:tab w:val="left" w:pos="1092"/>
              </w:tabs>
              <w:rPr>
                <w:rFonts w:ascii="Times New Roman" w:eastAsia="Times New Roman" w:hAnsi="Times New Roman" w:cs="Times New Roman"/>
                <w:sz w:val="20"/>
                <w:szCs w:val="20"/>
                <w:lang w:eastAsia="ro-RO"/>
              </w:rPr>
            </w:pPr>
            <w:r>
              <w:rPr>
                <w:rFonts w:ascii="Times New Roman" w:eastAsia="Times New Roman" w:hAnsi="Times New Roman" w:cs="Times New Roman"/>
                <w:sz w:val="20"/>
                <w:szCs w:val="20"/>
                <w:lang w:eastAsia="ro-RO"/>
              </w:rPr>
              <w:tab/>
            </w:r>
          </w:p>
        </w:tc>
        <w:tc>
          <w:tcPr>
            <w:tcW w:w="930" w:type="pct"/>
            <w:tcBorders>
              <w:top w:val="nil"/>
              <w:left w:val="nil"/>
              <w:bottom w:val="single" w:sz="4" w:space="0" w:color="auto"/>
              <w:right w:val="single" w:sz="4" w:space="0" w:color="auto"/>
            </w:tcBorders>
            <w:shd w:val="clear" w:color="auto" w:fill="auto"/>
            <w:hideMark/>
          </w:tcPr>
          <w:p w14:paraId="5B1F10C3" w14:textId="77777777" w:rsidR="00066F52" w:rsidRPr="00066F52" w:rsidRDefault="00066F52" w:rsidP="00066F52">
            <w:pPr>
              <w:spacing w:after="0" w:line="240" w:lineRule="auto"/>
              <w:rPr>
                <w:rFonts w:ascii="Times New Roman" w:eastAsia="Times New Roman" w:hAnsi="Times New Roman" w:cs="Times New Roman"/>
                <w:color w:val="000000"/>
                <w:lang w:eastAsia="ro-RO"/>
              </w:rPr>
            </w:pPr>
            <w:r w:rsidRPr="00066F52">
              <w:rPr>
                <w:rFonts w:ascii="Times New Roman" w:eastAsia="Times New Roman" w:hAnsi="Times New Roman" w:cs="Times New Roman"/>
                <w:color w:val="000000"/>
                <w:lang w:eastAsia="ro-RO"/>
              </w:rPr>
              <w:lastRenderedPageBreak/>
              <w:t> </w:t>
            </w:r>
          </w:p>
        </w:tc>
        <w:tc>
          <w:tcPr>
            <w:tcW w:w="790" w:type="pct"/>
            <w:vMerge/>
            <w:tcBorders>
              <w:top w:val="nil"/>
              <w:left w:val="single" w:sz="4" w:space="0" w:color="auto"/>
              <w:bottom w:val="single" w:sz="4" w:space="0" w:color="auto"/>
              <w:right w:val="single" w:sz="4" w:space="0" w:color="auto"/>
            </w:tcBorders>
            <w:vAlign w:val="center"/>
            <w:hideMark/>
          </w:tcPr>
          <w:p w14:paraId="51D2FD5A"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p>
        </w:tc>
      </w:tr>
      <w:tr w:rsidR="00066F52" w:rsidRPr="00066F52" w14:paraId="3AE94D4A" w14:textId="77777777" w:rsidTr="00720795">
        <w:trPr>
          <w:trHeight w:val="2376"/>
        </w:trPr>
        <w:tc>
          <w:tcPr>
            <w:tcW w:w="245" w:type="pct"/>
            <w:tcBorders>
              <w:top w:val="nil"/>
              <w:left w:val="single" w:sz="4" w:space="0" w:color="auto"/>
              <w:bottom w:val="single" w:sz="4" w:space="0" w:color="auto"/>
              <w:right w:val="single" w:sz="4" w:space="0" w:color="auto"/>
            </w:tcBorders>
            <w:shd w:val="clear" w:color="auto" w:fill="auto"/>
            <w:hideMark/>
          </w:tcPr>
          <w:p w14:paraId="25803E92" w14:textId="77777777" w:rsidR="00066F52" w:rsidRPr="00066F52" w:rsidRDefault="00066F52" w:rsidP="00066F52">
            <w:pPr>
              <w:spacing w:after="0" w:line="240" w:lineRule="auto"/>
              <w:jc w:val="right"/>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88</w:t>
            </w:r>
          </w:p>
        </w:tc>
        <w:tc>
          <w:tcPr>
            <w:tcW w:w="265" w:type="pct"/>
            <w:tcBorders>
              <w:top w:val="nil"/>
              <w:left w:val="nil"/>
              <w:bottom w:val="single" w:sz="4" w:space="0" w:color="auto"/>
              <w:right w:val="single" w:sz="4" w:space="0" w:color="auto"/>
            </w:tcBorders>
            <w:shd w:val="clear" w:color="auto" w:fill="auto"/>
            <w:hideMark/>
          </w:tcPr>
          <w:p w14:paraId="43ED212F" w14:textId="77777777" w:rsidR="00066F52" w:rsidRPr="00066F52" w:rsidRDefault="00066F52" w:rsidP="00066F52">
            <w:pPr>
              <w:spacing w:after="0" w:line="240" w:lineRule="auto"/>
              <w:rPr>
                <w:rFonts w:ascii="Times New Roman" w:eastAsia="Times New Roman" w:hAnsi="Times New Roman" w:cs="Times New Roman"/>
                <w:b/>
                <w:bCs/>
                <w:color w:val="000000"/>
                <w:sz w:val="20"/>
                <w:szCs w:val="20"/>
                <w:lang w:eastAsia="ro-RO"/>
              </w:rPr>
            </w:pPr>
            <w:r w:rsidRPr="00066F52">
              <w:rPr>
                <w:rFonts w:ascii="Times New Roman" w:eastAsia="Times New Roman" w:hAnsi="Times New Roman" w:cs="Times New Roman"/>
                <w:b/>
                <w:bCs/>
                <w:color w:val="000000"/>
                <w:sz w:val="20"/>
                <w:szCs w:val="20"/>
                <w:lang w:eastAsia="ro-RO"/>
              </w:rPr>
              <w:t>Art. 11</w:t>
            </w:r>
          </w:p>
        </w:tc>
        <w:tc>
          <w:tcPr>
            <w:tcW w:w="939" w:type="pct"/>
            <w:tcBorders>
              <w:top w:val="nil"/>
              <w:left w:val="nil"/>
              <w:bottom w:val="single" w:sz="4" w:space="0" w:color="auto"/>
              <w:right w:val="single" w:sz="4" w:space="0" w:color="auto"/>
            </w:tcBorders>
            <w:shd w:val="clear" w:color="auto" w:fill="auto"/>
            <w:hideMark/>
          </w:tcPr>
          <w:p w14:paraId="7B1EE01D"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Persoana juridică titulară a unei licențe pentru distribuția energiei electrice care urmează să vândă capacitățile energetice de distribuție, dar care nu are calitatea de operator de distribuție concesionar pentru prestarea serviciului public de distribuție a energiei electrice, notifică ANRE intenția sa de a se angaja în vânzarea de capacități, conform prevederilor licenței deținute.</w:t>
            </w:r>
          </w:p>
        </w:tc>
        <w:tc>
          <w:tcPr>
            <w:tcW w:w="670" w:type="pct"/>
            <w:tcBorders>
              <w:top w:val="nil"/>
              <w:left w:val="nil"/>
              <w:bottom w:val="single" w:sz="4" w:space="0" w:color="auto"/>
              <w:right w:val="single" w:sz="4" w:space="0" w:color="auto"/>
            </w:tcBorders>
            <w:shd w:val="clear" w:color="auto" w:fill="auto"/>
            <w:hideMark/>
          </w:tcPr>
          <w:p w14:paraId="6A88A2C8"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SDEE Muntenia Nord, SDEE Transilvania Nord, SDEE Transilvania Sud</w:t>
            </w:r>
          </w:p>
        </w:tc>
        <w:tc>
          <w:tcPr>
            <w:tcW w:w="1161" w:type="pct"/>
            <w:tcBorders>
              <w:top w:val="nil"/>
              <w:left w:val="nil"/>
              <w:bottom w:val="single" w:sz="4" w:space="0" w:color="auto"/>
              <w:right w:val="single" w:sz="4" w:space="0" w:color="auto"/>
            </w:tcBorders>
            <w:shd w:val="clear" w:color="auto" w:fill="auto"/>
            <w:hideMark/>
          </w:tcPr>
          <w:p w14:paraId="16D9C261" w14:textId="77777777" w:rsidR="00066F52" w:rsidRPr="00066F52" w:rsidRDefault="00066F52" w:rsidP="00066F52">
            <w:pPr>
              <w:spacing w:after="0" w:line="240" w:lineRule="auto"/>
              <w:rPr>
                <w:rFonts w:ascii="Times New Roman" w:eastAsia="Times New Roman" w:hAnsi="Times New Roman" w:cs="Times New Roman"/>
                <w:color w:val="FF0000"/>
                <w:sz w:val="20"/>
                <w:szCs w:val="20"/>
                <w:lang w:eastAsia="ro-RO"/>
              </w:rPr>
            </w:pPr>
            <w:r w:rsidRPr="00066F52">
              <w:rPr>
                <w:rFonts w:ascii="Times New Roman" w:eastAsia="Times New Roman" w:hAnsi="Times New Roman" w:cs="Times New Roman"/>
                <w:sz w:val="20"/>
                <w:szCs w:val="20"/>
                <w:lang w:eastAsia="ro-RO"/>
              </w:rPr>
              <w:t>Persoana juridică titulară a unei licențe pentru distribuția energiei electrice care urmează să vândă capacitățile energetice de distribuție, dar care nu are calitatea de operator de distribuție concesionar pentru prestarea serviciului public de distribuție a energiei electrice, notifică ANRE intenția sa de a se angaja în vânzarea de capacități, conform prevederilor licenței deținute</w:t>
            </w:r>
            <w:r w:rsidRPr="00066F52">
              <w:rPr>
                <w:rFonts w:ascii="Times New Roman" w:eastAsia="Times New Roman" w:hAnsi="Times New Roman" w:cs="Times New Roman"/>
                <w:color w:val="FF0000"/>
                <w:sz w:val="20"/>
                <w:szCs w:val="20"/>
                <w:lang w:eastAsia="ro-RO"/>
              </w:rPr>
              <w:t>.</w:t>
            </w:r>
            <w:r w:rsidRPr="00066F52">
              <w:rPr>
                <w:rFonts w:ascii="Times New Roman" w:eastAsia="Times New Roman" w:hAnsi="Times New Roman" w:cs="Times New Roman"/>
                <w:color w:val="FF0000"/>
                <w:sz w:val="20"/>
                <w:szCs w:val="20"/>
                <w:lang w:eastAsia="ro-RO"/>
              </w:rPr>
              <w:br/>
              <w:t xml:space="preserve">Notificarea ANRE se face în condițiile prevăzute în regulamentul de acordare a licențelor, cu minim 6 luni înainte,  și este trimisă spre știință OD concesionar  </w:t>
            </w:r>
          </w:p>
        </w:tc>
        <w:tc>
          <w:tcPr>
            <w:tcW w:w="930" w:type="pct"/>
            <w:tcBorders>
              <w:top w:val="nil"/>
              <w:left w:val="nil"/>
              <w:bottom w:val="single" w:sz="4" w:space="0" w:color="auto"/>
              <w:right w:val="single" w:sz="4" w:space="0" w:color="auto"/>
            </w:tcBorders>
            <w:shd w:val="clear" w:color="auto" w:fill="auto"/>
            <w:hideMark/>
          </w:tcPr>
          <w:p w14:paraId="3B02B00C" w14:textId="77777777" w:rsidR="00066F52" w:rsidRPr="00066F52" w:rsidRDefault="00066F52" w:rsidP="00066F52">
            <w:pPr>
              <w:spacing w:after="0" w:line="240" w:lineRule="auto"/>
              <w:rPr>
                <w:rFonts w:ascii="Times New Roman" w:eastAsia="Times New Roman" w:hAnsi="Times New Roman" w:cs="Times New Roman"/>
                <w:color w:val="000000"/>
                <w:sz w:val="20"/>
                <w:szCs w:val="20"/>
                <w:lang w:eastAsia="ro-RO"/>
              </w:rPr>
            </w:pPr>
            <w:r w:rsidRPr="00066F52">
              <w:rPr>
                <w:rFonts w:ascii="Times New Roman" w:eastAsia="Times New Roman" w:hAnsi="Times New Roman" w:cs="Times New Roman"/>
                <w:color w:val="000000"/>
                <w:sz w:val="20"/>
                <w:szCs w:val="20"/>
                <w:lang w:eastAsia="ro-RO"/>
              </w:rPr>
              <w:t> </w:t>
            </w:r>
          </w:p>
        </w:tc>
        <w:tc>
          <w:tcPr>
            <w:tcW w:w="790" w:type="pct"/>
            <w:tcBorders>
              <w:top w:val="nil"/>
              <w:left w:val="nil"/>
              <w:bottom w:val="single" w:sz="4" w:space="0" w:color="auto"/>
              <w:right w:val="single" w:sz="4" w:space="0" w:color="auto"/>
            </w:tcBorders>
            <w:shd w:val="clear" w:color="auto" w:fill="auto"/>
            <w:hideMark/>
          </w:tcPr>
          <w:p w14:paraId="712887A9" w14:textId="04745154" w:rsidR="00066F52" w:rsidRPr="00483370" w:rsidRDefault="00895E29" w:rsidP="00483370">
            <w:pPr>
              <w:spacing w:after="0" w:line="240" w:lineRule="auto"/>
              <w:rPr>
                <w:rFonts w:ascii="Times New Roman" w:eastAsia="Times New Roman" w:hAnsi="Times New Roman" w:cs="Times New Roman"/>
                <w:color w:val="000000"/>
                <w:sz w:val="20"/>
                <w:szCs w:val="20"/>
                <w:lang w:eastAsia="ro-RO"/>
              </w:rPr>
            </w:pPr>
            <w:r>
              <w:rPr>
                <w:rFonts w:ascii="Times New Roman" w:eastAsia="Times New Roman" w:hAnsi="Times New Roman" w:cs="Times New Roman"/>
                <w:b/>
                <w:bCs/>
                <w:color w:val="000000"/>
                <w:sz w:val="20"/>
                <w:szCs w:val="20"/>
                <w:lang w:eastAsia="ro-RO"/>
              </w:rPr>
              <w:t xml:space="preserve">Articolul se </w:t>
            </w:r>
            <w:r w:rsidR="00483370">
              <w:rPr>
                <w:rFonts w:ascii="Times New Roman" w:eastAsia="Times New Roman" w:hAnsi="Times New Roman" w:cs="Times New Roman"/>
                <w:b/>
                <w:bCs/>
                <w:color w:val="000000"/>
                <w:sz w:val="20"/>
                <w:szCs w:val="20"/>
                <w:lang w:eastAsia="ro-RO"/>
              </w:rPr>
              <w:t xml:space="preserve">elimină. </w:t>
            </w:r>
            <w:r w:rsidR="00483370">
              <w:rPr>
                <w:rFonts w:ascii="Times New Roman" w:eastAsia="Times New Roman" w:hAnsi="Times New Roman" w:cs="Times New Roman"/>
                <w:color w:val="000000"/>
                <w:sz w:val="20"/>
                <w:szCs w:val="20"/>
                <w:lang w:eastAsia="ro-RO"/>
              </w:rPr>
              <w:t>Obligația notificării este prevăzută în Condițiile licenței.</w:t>
            </w:r>
          </w:p>
        </w:tc>
      </w:tr>
    </w:tbl>
    <w:p w14:paraId="6B8E1350" w14:textId="77777777" w:rsidR="00066F52" w:rsidRDefault="00066F52"/>
    <w:sectPr w:rsidR="00066F52" w:rsidSect="00066F52">
      <w:headerReference w:type="even" r:id="rId6"/>
      <w:headerReference w:type="default" r:id="rId7"/>
      <w:footerReference w:type="even" r:id="rId8"/>
      <w:footerReference w:type="default" r:id="rId9"/>
      <w:headerReference w:type="first" r:id="rId10"/>
      <w:footerReference w:type="first" r:id="rId11"/>
      <w:pgSz w:w="15840" w:h="12240" w:orient="landscape"/>
      <w:pgMar w:top="851" w:right="672" w:bottom="851" w:left="567" w:header="708" w:footer="2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CD17A" w14:textId="77777777" w:rsidR="00424FBF" w:rsidRDefault="00424FBF" w:rsidP="00066F52">
      <w:pPr>
        <w:spacing w:after="0" w:line="240" w:lineRule="auto"/>
      </w:pPr>
      <w:r>
        <w:separator/>
      </w:r>
    </w:p>
  </w:endnote>
  <w:endnote w:type="continuationSeparator" w:id="0">
    <w:p w14:paraId="73411AA7" w14:textId="77777777" w:rsidR="00424FBF" w:rsidRDefault="00424FBF" w:rsidP="00066F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B2A0A" w14:textId="77777777" w:rsidR="00CA1777" w:rsidRDefault="00CA17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8448825"/>
      <w:docPartObj>
        <w:docPartGallery w:val="Page Numbers (Bottom of Page)"/>
        <w:docPartUnique/>
      </w:docPartObj>
    </w:sdtPr>
    <w:sdtEndPr/>
    <w:sdtContent>
      <w:sdt>
        <w:sdtPr>
          <w:id w:val="1728636285"/>
          <w:docPartObj>
            <w:docPartGallery w:val="Page Numbers (Top of Page)"/>
            <w:docPartUnique/>
          </w:docPartObj>
        </w:sdtPr>
        <w:sdtEndPr/>
        <w:sdtContent>
          <w:p w14:paraId="39778EC9" w14:textId="30DB0DBF" w:rsidR="00CA1777" w:rsidRDefault="00CA1777">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AB48F5">
              <w:rPr>
                <w:b/>
                <w:bCs/>
                <w:noProof/>
              </w:rPr>
              <w:t>24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B48F5">
              <w:rPr>
                <w:b/>
                <w:bCs/>
                <w:noProof/>
              </w:rPr>
              <w:t>30</w:t>
            </w:r>
            <w:r>
              <w:rPr>
                <w:b/>
                <w:bCs/>
                <w:sz w:val="24"/>
                <w:szCs w:val="24"/>
              </w:rPr>
              <w:fldChar w:fldCharType="end"/>
            </w:r>
          </w:p>
        </w:sdtContent>
      </w:sdt>
    </w:sdtContent>
  </w:sdt>
  <w:p w14:paraId="405E34CE" w14:textId="77777777" w:rsidR="00CA1777" w:rsidRDefault="00CA17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FD642" w14:textId="77777777" w:rsidR="00CA1777" w:rsidRDefault="00CA17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72200" w14:textId="77777777" w:rsidR="00424FBF" w:rsidRDefault="00424FBF" w:rsidP="00066F52">
      <w:pPr>
        <w:spacing w:after="0" w:line="240" w:lineRule="auto"/>
      </w:pPr>
      <w:r>
        <w:separator/>
      </w:r>
    </w:p>
  </w:footnote>
  <w:footnote w:type="continuationSeparator" w:id="0">
    <w:p w14:paraId="386D92CA" w14:textId="77777777" w:rsidR="00424FBF" w:rsidRDefault="00424FBF" w:rsidP="00066F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884D0" w14:textId="77777777" w:rsidR="00CA1777" w:rsidRDefault="00CA17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BA2D" w14:textId="77777777" w:rsidR="00CA1777" w:rsidRDefault="00CA17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89276" w14:textId="77777777" w:rsidR="00CA1777" w:rsidRDefault="00CA17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F52"/>
    <w:rsid w:val="00052EB0"/>
    <w:rsid w:val="00066F52"/>
    <w:rsid w:val="0009497C"/>
    <w:rsid w:val="00424FBF"/>
    <w:rsid w:val="00443920"/>
    <w:rsid w:val="00483370"/>
    <w:rsid w:val="00492A82"/>
    <w:rsid w:val="004A4067"/>
    <w:rsid w:val="004C7A18"/>
    <w:rsid w:val="005359B5"/>
    <w:rsid w:val="005F1394"/>
    <w:rsid w:val="00647E00"/>
    <w:rsid w:val="006560D0"/>
    <w:rsid w:val="00660C9D"/>
    <w:rsid w:val="0068584F"/>
    <w:rsid w:val="00720795"/>
    <w:rsid w:val="007853A6"/>
    <w:rsid w:val="00805C06"/>
    <w:rsid w:val="0086590C"/>
    <w:rsid w:val="00895E29"/>
    <w:rsid w:val="00A86F4D"/>
    <w:rsid w:val="00AB48F5"/>
    <w:rsid w:val="00AB4EEF"/>
    <w:rsid w:val="00CA1777"/>
    <w:rsid w:val="00D208BF"/>
    <w:rsid w:val="00D31F1D"/>
    <w:rsid w:val="00E165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38FF23"/>
  <w15:chartTrackingRefBased/>
  <w15:docId w15:val="{CCA28C82-A8A9-4837-B44C-06F82A3A7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6F5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6F52"/>
  </w:style>
  <w:style w:type="paragraph" w:styleId="Footer">
    <w:name w:val="footer"/>
    <w:basedOn w:val="Normal"/>
    <w:link w:val="FooterChar"/>
    <w:uiPriority w:val="99"/>
    <w:unhideWhenUsed/>
    <w:rsid w:val="00066F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6F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182456">
      <w:bodyDiv w:val="1"/>
      <w:marLeft w:val="0"/>
      <w:marRight w:val="0"/>
      <w:marTop w:val="0"/>
      <w:marBottom w:val="0"/>
      <w:divBdr>
        <w:top w:val="none" w:sz="0" w:space="0" w:color="auto"/>
        <w:left w:val="none" w:sz="0" w:space="0" w:color="auto"/>
        <w:bottom w:val="none" w:sz="0" w:space="0" w:color="auto"/>
        <w:right w:val="none" w:sz="0" w:space="0" w:color="auto"/>
      </w:divBdr>
    </w:div>
    <w:div w:id="93594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9091</Words>
  <Characters>52730</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Tiberiu S</dc:creator>
  <cp:keywords/>
  <dc:description/>
  <cp:lastModifiedBy>Tiberiu STEFAN</cp:lastModifiedBy>
  <cp:revision>2</cp:revision>
  <dcterms:created xsi:type="dcterms:W3CDTF">2020-10-27T08:42:00Z</dcterms:created>
  <dcterms:modified xsi:type="dcterms:W3CDTF">2020-10-27T08:42:00Z</dcterms:modified>
</cp:coreProperties>
</file>